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overflowPunct/>
        <w:topLinePunct w:val="0"/>
        <w:autoSpaceDE/>
        <w:autoSpaceDN/>
        <w:bidi w:val="0"/>
        <w:spacing w:line="1200" w:lineRule="exact"/>
        <w:ind w:firstLine="0" w:firstLineChars="0"/>
        <w:textAlignment w:val="auto"/>
        <w:rPr>
          <w:rFonts w:hint="default" w:ascii="Times New Roman" w:hAnsi="Times New Roman" w:eastAsia="仿宋_GB2312" w:cs="Times New Roman"/>
          <w:spacing w:val="3"/>
          <w:szCs w:val="32"/>
        </w:rPr>
      </w:pPr>
    </w:p>
    <w:p>
      <w:pPr>
        <w:keepNext w:val="0"/>
        <w:keepLines w:val="0"/>
        <w:pageBreakBefore w:val="0"/>
        <w:widowControl w:val="0"/>
        <w:kinsoku/>
        <w:overflowPunct/>
        <w:topLinePunct w:val="0"/>
        <w:autoSpaceDE/>
        <w:autoSpaceDN/>
        <w:bidi w:val="0"/>
        <w:spacing w:line="640" w:lineRule="exact"/>
        <w:jc w:val="center"/>
        <w:textAlignment w:val="auto"/>
        <w:rPr>
          <w:rFonts w:hint="default" w:ascii="Times New Roman" w:hAnsi="Times New Roman" w:eastAsia="方正小标宋_GBK" w:cs="Times New Roman"/>
          <w:spacing w:val="20"/>
          <w:kern w:val="2"/>
          <w:sz w:val="44"/>
          <w:szCs w:val="44"/>
          <w:lang w:eastAsia="zh-CN" w:bidi="ar-SA"/>
        </w:rPr>
      </w:pPr>
      <w:r>
        <w:rPr>
          <w:rFonts w:hint="default" w:ascii="Times New Roman" w:hAnsi="Times New Roman" w:eastAsia="方正小标宋_GBK" w:cs="Times New Roman"/>
          <w:spacing w:val="20"/>
          <w:kern w:val="2"/>
          <w:sz w:val="44"/>
          <w:szCs w:val="44"/>
          <w:lang w:eastAsia="zh-CN" w:bidi="ar-SA"/>
        </w:rPr>
        <w:t>惠州仲恺高新区国有建设用地使用权</w:t>
      </w:r>
    </w:p>
    <w:p>
      <w:pPr>
        <w:keepNext w:val="0"/>
        <w:keepLines w:val="0"/>
        <w:pageBreakBefore w:val="0"/>
        <w:widowControl w:val="0"/>
        <w:kinsoku/>
        <w:overflowPunct/>
        <w:topLinePunct w:val="0"/>
        <w:autoSpaceDE/>
        <w:autoSpaceDN/>
        <w:bidi w:val="0"/>
        <w:spacing w:line="640" w:lineRule="exact"/>
        <w:jc w:val="center"/>
        <w:textAlignment w:val="auto"/>
        <w:rPr>
          <w:rFonts w:hint="default" w:ascii="Times New Roman" w:hAnsi="Times New Roman" w:eastAsia="方正小标宋_GBK" w:cs="Times New Roman"/>
          <w:spacing w:val="20"/>
          <w:kern w:val="2"/>
          <w:sz w:val="44"/>
          <w:szCs w:val="44"/>
          <w:lang w:eastAsia="zh-CN" w:bidi="ar-SA"/>
        </w:rPr>
      </w:pPr>
      <w:r>
        <w:rPr>
          <w:rFonts w:hint="default" w:ascii="Times New Roman" w:hAnsi="Times New Roman" w:eastAsia="方正小标宋_GBK" w:cs="Times New Roman"/>
          <w:spacing w:val="20"/>
          <w:kern w:val="2"/>
          <w:sz w:val="44"/>
          <w:szCs w:val="44"/>
          <w:lang w:eastAsia="zh-CN" w:bidi="ar-SA"/>
        </w:rPr>
        <w:t>网上挂牌出让公告</w:t>
      </w:r>
    </w:p>
    <w:p>
      <w:pPr>
        <w:keepNext w:val="0"/>
        <w:keepLines w:val="0"/>
        <w:pageBreakBefore w:val="0"/>
        <w:widowControl w:val="0"/>
        <w:kinsoku/>
        <w:overflowPunct/>
        <w:topLinePunct w:val="0"/>
        <w:autoSpaceDE/>
        <w:autoSpaceDN/>
        <w:bidi w:val="0"/>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惠仲土挂告[</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0</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p>
    <w:p>
      <w:pPr>
        <w:pStyle w:val="7"/>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0" w:name="bookmark3"/>
      <w:r>
        <w:rPr>
          <w:rFonts w:hint="default" w:ascii="Times New Roman" w:hAnsi="Times New Roman" w:eastAsia="仿宋_GB2312" w:cs="Times New Roman"/>
          <w:sz w:val="32"/>
          <w:szCs w:val="32"/>
        </w:rPr>
        <w:t>根据《招标拍卖挂牌出让国有建设用地使用权规定》（国土资源部令第39号）和《广东省土地使用权交易市场管理规定》（广东省人民政府令第79号）的规定，经批准，我局决定以网上挂牌方式公开出让下列</w:t>
      </w:r>
      <w:r>
        <w:rPr>
          <w:rFonts w:hint="default" w:ascii="Times New Roman" w:hAnsi="Times New Roman" w:eastAsia="仿宋_GB2312" w:cs="Times New Roman"/>
          <w:sz w:val="32"/>
          <w:szCs w:val="32"/>
          <w:lang w:val="en-US" w:eastAsia="zh-CN"/>
        </w:rPr>
        <w:t>5宗</w:t>
      </w:r>
      <w:r>
        <w:rPr>
          <w:rFonts w:hint="default" w:ascii="Times New Roman" w:hAnsi="Times New Roman" w:eastAsia="仿宋_GB2312" w:cs="Times New Roman"/>
          <w:sz w:val="32"/>
          <w:szCs w:val="32"/>
        </w:rPr>
        <w:t>国有建设用地使用权。现将有关事项公告如下：</w:t>
      </w:r>
    </w:p>
    <w:bookmarkEnd w:id="0"/>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bookmarkStart w:id="1" w:name="bookmark6"/>
      <w:r>
        <w:rPr>
          <w:rFonts w:hint="default" w:ascii="Times New Roman" w:hAnsi="Times New Roman" w:eastAsia="黑体" w:cs="Times New Roman"/>
          <w:sz w:val="32"/>
          <w:szCs w:val="32"/>
        </w:rPr>
        <w:t>一、网上挂牌出让地块基本情况及规划指标要求</w:t>
      </w:r>
      <w:r>
        <w:rPr>
          <w:rFonts w:hint="default" w:ascii="Times New Roman" w:hAnsi="Times New Roman" w:eastAsia="仿宋_GB2312" w:cs="Times New Roman"/>
          <w:sz w:val="32"/>
          <w:szCs w:val="32"/>
          <w:lang w:val="en-US" w:eastAsia="zh-CN"/>
        </w:rPr>
        <w:t>（见附表）</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仿宋_GB2312" w:cs="Times New Roman"/>
          <w:sz w:val="32"/>
          <w:szCs w:val="32"/>
          <w:lang w:val="en-US" w:eastAsia="zh-CN"/>
        </w:rPr>
      </w:pPr>
      <w:bookmarkStart w:id="2" w:name="bookmark4"/>
      <w:r>
        <w:rPr>
          <w:rFonts w:hint="default" w:ascii="Times New Roman" w:hAnsi="Times New Roman" w:eastAsia="黑体" w:cs="Times New Roman"/>
          <w:sz w:val="32"/>
          <w:szCs w:val="32"/>
        </w:rPr>
        <w:t>二</w:t>
      </w:r>
      <w:bookmarkEnd w:id="2"/>
      <w:r>
        <w:rPr>
          <w:rFonts w:hint="default" w:ascii="Times New Roman" w:hAnsi="Times New Roman" w:eastAsia="黑体" w:cs="Times New Roman"/>
          <w:sz w:val="32"/>
          <w:szCs w:val="32"/>
        </w:rPr>
        <w:t>、挂牌起始价及加价幅度</w:t>
      </w:r>
      <w:bookmarkStart w:id="3" w:name="bookmark5"/>
      <w:r>
        <w:rPr>
          <w:rFonts w:hint="default" w:ascii="Times New Roman" w:hAnsi="Times New Roman" w:eastAsia="仿宋_GB2312" w:cs="Times New Roman"/>
          <w:sz w:val="32"/>
          <w:szCs w:val="32"/>
          <w:lang w:val="en-US" w:eastAsia="zh-CN"/>
        </w:rPr>
        <w:t>（见附表）</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bookmarkEnd w:id="3"/>
      <w:r>
        <w:rPr>
          <w:rFonts w:hint="default" w:ascii="Times New Roman" w:hAnsi="Times New Roman" w:eastAsia="黑体" w:cs="Times New Roman"/>
          <w:sz w:val="32"/>
          <w:szCs w:val="32"/>
        </w:rPr>
        <w:t>、时间安排</w:t>
      </w:r>
    </w:p>
    <w:bookmarkEnd w:id="1"/>
    <w:p>
      <w:pPr>
        <w:pStyle w:val="7"/>
        <w:keepNext w:val="0"/>
        <w:keepLines w:val="0"/>
        <w:pageBreakBefore w:val="0"/>
        <w:widowControl w:val="0"/>
        <w:tabs>
          <w:tab w:val="left" w:pos="1498"/>
        </w:tabs>
        <w:kinsoku/>
        <w:overflowPunct/>
        <w:topLinePunct w:val="0"/>
        <w:autoSpaceDE/>
        <w:autoSpaceDN/>
        <w:bidi w:val="0"/>
        <w:spacing w:line="52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（一）公告时间：</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p>
      <w:pPr>
        <w:pStyle w:val="7"/>
        <w:keepNext w:val="0"/>
        <w:keepLines w:val="0"/>
        <w:pageBreakBefore w:val="0"/>
        <w:widowControl w:val="0"/>
        <w:tabs>
          <w:tab w:val="left" w:pos="1635"/>
        </w:tabs>
        <w:kinsoku/>
        <w:overflowPunct/>
        <w:topLinePunct w:val="0"/>
        <w:autoSpaceDE/>
        <w:autoSpaceDN/>
        <w:bidi w:val="0"/>
        <w:spacing w:line="52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（二）网上挂牌竞买时间：202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日9时至202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日10时。</w:t>
      </w:r>
    </w:p>
    <w:p>
      <w:pPr>
        <w:pStyle w:val="7"/>
        <w:keepNext w:val="0"/>
        <w:keepLines w:val="0"/>
        <w:pageBreakBefore w:val="0"/>
        <w:widowControl w:val="0"/>
        <w:tabs>
          <w:tab w:val="left" w:pos="1640"/>
        </w:tabs>
        <w:kinsoku/>
        <w:overflowPunct/>
        <w:topLinePunct w:val="0"/>
        <w:autoSpaceDE/>
        <w:autoSpaceDN/>
        <w:bidi w:val="0"/>
        <w:spacing w:line="52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（三）竞买保证金到账截止时间为：202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日9时。</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bookmarkStart w:id="4" w:name="bookmark9"/>
      <w:r>
        <w:rPr>
          <w:rFonts w:hint="default" w:ascii="Times New Roman" w:hAnsi="Times New Roman" w:eastAsia="黑体" w:cs="Times New Roman"/>
          <w:sz w:val="32"/>
          <w:szCs w:val="32"/>
        </w:rPr>
        <w:t>四</w:t>
      </w:r>
      <w:bookmarkEnd w:id="4"/>
      <w:r>
        <w:rPr>
          <w:rFonts w:hint="default" w:ascii="Times New Roman" w:hAnsi="Times New Roman" w:eastAsia="黑体" w:cs="Times New Roman"/>
          <w:sz w:val="32"/>
          <w:szCs w:val="32"/>
        </w:rPr>
        <w:t>、竞买资格及要求</w:t>
      </w:r>
    </w:p>
    <w:p>
      <w:pPr>
        <w:pStyle w:val="7"/>
        <w:keepNext w:val="0"/>
        <w:keepLines w:val="0"/>
        <w:pageBreakBefore w:val="0"/>
        <w:widowControl w:val="0"/>
        <w:kinsoku/>
        <w:overflowPunct/>
        <w:topLinePunct w:val="0"/>
        <w:autoSpaceDE/>
        <w:autoSpaceDN/>
        <w:bidi w:val="0"/>
        <w:spacing w:line="520" w:lineRule="exact"/>
        <w:ind w:firstLine="66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中华人民共和国境内外的法人和其他组织（除法律法规另有规定外）具备本条规定条件的，均可申请参加竞买。申请人可以单独申请，也可以联合申请，竞买申请人必须同时具备下列条件</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515"/>
        </w:tabs>
        <w:kinsoku/>
        <w:overflowPunct/>
        <w:topLinePunct w:val="0"/>
        <w:autoSpaceDE/>
        <w:autoSpaceDN/>
        <w:bidi w:val="0"/>
        <w:spacing w:line="520" w:lineRule="exact"/>
        <w:ind w:firstLine="640"/>
        <w:jc w:val="both"/>
        <w:textAlignment w:val="auto"/>
        <w:rPr>
          <w:rFonts w:hint="default" w:ascii="Times New Roman" w:hAnsi="Times New Roman" w:eastAsia="仿宋_GB2312" w:cs="Times New Roman"/>
          <w:sz w:val="32"/>
          <w:szCs w:val="32"/>
        </w:rPr>
      </w:pPr>
      <w:bookmarkStart w:id="5" w:name="bookmark10"/>
      <w:r>
        <w:rPr>
          <w:rFonts w:hint="default" w:ascii="Times New Roman" w:hAnsi="Times New Roman" w:eastAsia="仿宋_GB2312" w:cs="Times New Roman"/>
          <w:sz w:val="32"/>
          <w:szCs w:val="32"/>
        </w:rPr>
        <w:t>（</w:t>
      </w:r>
      <w:bookmarkEnd w:id="5"/>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缴纳足额</w:t>
      </w:r>
      <w:r>
        <w:rPr>
          <w:rFonts w:hint="default" w:ascii="Times New Roman" w:hAnsi="Times New Roman" w:eastAsia="仿宋_GB2312" w:cs="Times New Roman"/>
          <w:sz w:val="32"/>
          <w:szCs w:val="32"/>
        </w:rPr>
        <w:t>竞买保证金；</w:t>
      </w:r>
    </w:p>
    <w:p>
      <w:pPr>
        <w:pStyle w:val="7"/>
        <w:keepNext w:val="0"/>
        <w:keepLines w:val="0"/>
        <w:pageBreakBefore w:val="0"/>
        <w:widowControl w:val="0"/>
        <w:tabs>
          <w:tab w:val="left" w:pos="1611"/>
        </w:tabs>
        <w:kinsoku/>
        <w:overflowPunct/>
        <w:topLinePunct w:val="0"/>
        <w:autoSpaceDE/>
        <w:autoSpaceDN/>
        <w:bidi w:val="0"/>
        <w:spacing w:line="520" w:lineRule="exact"/>
        <w:ind w:firstLine="640"/>
        <w:jc w:val="both"/>
        <w:textAlignment w:val="auto"/>
        <w:rPr>
          <w:rFonts w:hint="default" w:ascii="Times New Roman" w:hAnsi="Times New Roman" w:eastAsia="仿宋_GB2312" w:cs="Times New Roman"/>
          <w:sz w:val="32"/>
          <w:szCs w:val="32"/>
        </w:rPr>
      </w:pPr>
      <w:bookmarkStart w:id="6" w:name="bookmark11"/>
      <w:r>
        <w:rPr>
          <w:rFonts w:hint="default" w:ascii="Times New Roman" w:hAnsi="Times New Roman" w:eastAsia="仿宋_GB2312" w:cs="Times New Roman"/>
          <w:sz w:val="32"/>
          <w:szCs w:val="32"/>
        </w:rPr>
        <w:t>（</w:t>
      </w:r>
      <w:bookmarkEnd w:id="6"/>
      <w:r>
        <w:rPr>
          <w:rFonts w:hint="default" w:ascii="Times New Roman" w:hAnsi="Times New Roman" w:eastAsia="仿宋_GB2312" w:cs="Times New Roman"/>
          <w:sz w:val="32"/>
          <w:szCs w:val="32"/>
        </w:rPr>
        <w:t>二）拖欠地价款、闲置土地、囤地炒地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有违法或不良信用记录</w:t>
      </w:r>
      <w:r>
        <w:rPr>
          <w:rFonts w:hint="default" w:ascii="Times New Roman" w:hAnsi="Times New Roman" w:eastAsia="仿宋_GB2312" w:cs="Times New Roman"/>
          <w:sz w:val="32"/>
          <w:szCs w:val="32"/>
        </w:rPr>
        <w:t>的企业及其控股股东不得参与竞买。</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、竞买保证金</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7" w:name="bookmark18"/>
      <w:r>
        <w:rPr>
          <w:rFonts w:hint="default" w:ascii="Times New Roman" w:hAnsi="Times New Roman" w:eastAsia="仿宋_GB2312" w:cs="Times New Roman"/>
          <w:sz w:val="32"/>
          <w:szCs w:val="32"/>
        </w:rPr>
        <w:t>（</w:t>
      </w:r>
      <w:bookmarkEnd w:id="7"/>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本公告5宗地块</w:t>
      </w:r>
      <w:r>
        <w:rPr>
          <w:rFonts w:hint="default" w:ascii="Times New Roman" w:hAnsi="Times New Roman" w:eastAsia="仿宋_GB2312" w:cs="Times New Roman"/>
          <w:sz w:val="32"/>
          <w:szCs w:val="32"/>
        </w:rPr>
        <w:t>竞买保证金</w:t>
      </w:r>
      <w:r>
        <w:rPr>
          <w:rFonts w:hint="default" w:ascii="Times New Roman" w:hAnsi="Times New Roman" w:eastAsia="仿宋_GB2312" w:cs="Times New Roman"/>
          <w:sz w:val="32"/>
          <w:szCs w:val="32"/>
          <w:lang w:val="en-US" w:eastAsia="zh-CN"/>
        </w:rPr>
        <w:t>详见附表</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8" w:name="bookmark19"/>
      <w:r>
        <w:rPr>
          <w:rFonts w:hint="default" w:ascii="Times New Roman" w:hAnsi="Times New Roman" w:eastAsia="仿宋_GB2312" w:cs="Times New Roman"/>
          <w:sz w:val="32"/>
          <w:szCs w:val="32"/>
        </w:rPr>
        <w:t>（</w:t>
      </w:r>
      <w:bookmarkEnd w:id="8"/>
      <w:r>
        <w:rPr>
          <w:rFonts w:hint="default" w:ascii="Times New Roman" w:hAnsi="Times New Roman" w:eastAsia="仿宋_GB2312" w:cs="Times New Roman"/>
          <w:sz w:val="32"/>
          <w:szCs w:val="32"/>
        </w:rPr>
        <w:t>二）申请人应当在网上挂牌出让竞买保证金到账截止时间前登录惠州市公共资源交易中心土地与矿业网上挂牌交易系统（以下简称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网上挂牌交易系统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，网址：</w:t>
      </w:r>
      <w:r>
        <w:rPr>
          <w:rFonts w:hint="default" w:ascii="Times New Roman" w:hAnsi="Times New Roman" w:eastAsia="仿宋_GB2312" w:cs="Times New Roman"/>
          <w:sz w:val="32"/>
          <w:szCs w:val="32"/>
          <w:lang w:val="en-US" w:eastAsia="en-US"/>
        </w:rPr>
        <w:t>https://www.hzgtjy.com/</w:t>
      </w:r>
      <w:r>
        <w:rPr>
          <w:rFonts w:hint="default" w:ascii="Times New Roman" w:hAnsi="Times New Roman" w:eastAsia="仿宋_GB2312" w:cs="Times New Roman"/>
          <w:sz w:val="32"/>
          <w:szCs w:val="32"/>
        </w:rPr>
        <w:t>）获取竞买保证金支付账号</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9" w:name="bookmark20"/>
      <w:r>
        <w:rPr>
          <w:rFonts w:hint="default" w:ascii="Times New Roman" w:hAnsi="Times New Roman" w:eastAsia="仿宋_GB2312" w:cs="Times New Roman"/>
          <w:sz w:val="32"/>
          <w:szCs w:val="32"/>
        </w:rPr>
        <w:t>（</w:t>
      </w:r>
      <w:bookmarkEnd w:id="9"/>
      <w:r>
        <w:rPr>
          <w:rFonts w:hint="default" w:ascii="Times New Roman" w:hAnsi="Times New Roman" w:eastAsia="仿宋_GB2312" w:cs="Times New Roman"/>
          <w:sz w:val="32"/>
          <w:szCs w:val="32"/>
        </w:rPr>
        <w:t>三）竞买保证金到账时间以网上挂牌交易系统确认并发出《保证金到账通知书》为准。</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、竞买申请</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公告5宗</w:t>
      </w:r>
      <w:r>
        <w:rPr>
          <w:rFonts w:hint="default" w:ascii="Times New Roman" w:hAnsi="Times New Roman" w:eastAsia="仿宋_GB2312" w:cs="Times New Roman"/>
          <w:sz w:val="32"/>
          <w:szCs w:val="32"/>
        </w:rPr>
        <w:t>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公告5宗</w:t>
      </w:r>
      <w:r>
        <w:rPr>
          <w:rFonts w:hint="default" w:ascii="Times New Roman" w:hAnsi="Times New Roman" w:eastAsia="仿宋_GB2312" w:cs="Times New Roman"/>
          <w:sz w:val="32"/>
          <w:szCs w:val="32"/>
        </w:rPr>
        <w:t>国有建设用地使用权网上挂牌出让实行竞买资格后置审查。竞买申请人交纳足额竞买保证金即获得竞买报价权限。</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、竞买人电子报价及电子限时竞价</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竞买人须详细阅读本宗地网上挂牌出让公告、竞买须知及网上挂牌交易系统操作指南，熟练操作网上挂牌交易系统，按竞买规则进行电子报价及电子限时竞价。</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、确定成交候选人</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公告5宗</w:t>
      </w:r>
      <w:r>
        <w:rPr>
          <w:rFonts w:hint="default" w:ascii="Times New Roman" w:hAnsi="Times New Roman" w:eastAsia="仿宋_GB2312" w:cs="Times New Roman"/>
          <w:sz w:val="32"/>
          <w:szCs w:val="32"/>
        </w:rPr>
        <w:t>国有建设用地使用权网上挂牌出让为无底价挂牌采取价高者得方式出让并确定成交候选人。</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、资格审查</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成交候选人应在网上挂牌交易系统确定成交候选人之日起5个工作日内将竞买申请纸质材料提交至我局，由我局对竞买资格进行审查。我局将于202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日前确定符合竞买资格的成交候选人为竞得人。</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成交候选人资格审查须提交下列材料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均一式两份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0" w:name="bookmark24"/>
      <w:r>
        <w:rPr>
          <w:rFonts w:hint="default" w:ascii="Times New Roman" w:hAnsi="Times New Roman" w:eastAsia="仿宋_GB2312" w:cs="Times New Roman"/>
          <w:sz w:val="32"/>
          <w:szCs w:val="32"/>
        </w:rPr>
        <w:t>（</w:t>
      </w:r>
      <w:bookmarkEnd w:id="10"/>
      <w:r>
        <w:rPr>
          <w:rFonts w:hint="default" w:ascii="Times New Roman" w:hAnsi="Times New Roman" w:eastAsia="仿宋_GB2312" w:cs="Times New Roman"/>
          <w:sz w:val="32"/>
          <w:szCs w:val="32"/>
        </w:rPr>
        <w:t>一）《竞买申请书》（加盖公章）；</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1" w:name="bookmark25"/>
      <w:r>
        <w:rPr>
          <w:rFonts w:hint="default" w:ascii="Times New Roman" w:hAnsi="Times New Roman" w:eastAsia="仿宋_GB2312" w:cs="Times New Roman"/>
          <w:sz w:val="32"/>
          <w:szCs w:val="32"/>
        </w:rPr>
        <w:t>（</w:t>
      </w:r>
      <w:bookmarkEnd w:id="11"/>
      <w:r>
        <w:rPr>
          <w:rFonts w:hint="default" w:ascii="Times New Roman" w:hAnsi="Times New Roman" w:eastAsia="仿宋_GB2312" w:cs="Times New Roman"/>
          <w:sz w:val="32"/>
          <w:szCs w:val="32"/>
        </w:rPr>
        <w:t>二）《竞价结果通知书》（加盖公章）；</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2" w:name="bookmark26"/>
      <w:r>
        <w:rPr>
          <w:rFonts w:hint="default" w:ascii="Times New Roman" w:hAnsi="Times New Roman" w:eastAsia="仿宋_GB2312" w:cs="Times New Roman"/>
          <w:sz w:val="32"/>
          <w:szCs w:val="32"/>
        </w:rPr>
        <w:t>（</w:t>
      </w:r>
      <w:bookmarkEnd w:id="12"/>
      <w:r>
        <w:rPr>
          <w:rFonts w:hint="default" w:ascii="Times New Roman" w:hAnsi="Times New Roman" w:eastAsia="仿宋_GB2312" w:cs="Times New Roman"/>
          <w:sz w:val="32"/>
          <w:szCs w:val="32"/>
        </w:rPr>
        <w:t>三）《竞买保证金到账通知书》（加盖公章）；</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3" w:name="bookmark27"/>
      <w:r>
        <w:rPr>
          <w:rFonts w:hint="default" w:ascii="Times New Roman" w:hAnsi="Times New Roman" w:eastAsia="仿宋_GB2312" w:cs="Times New Roman"/>
          <w:sz w:val="32"/>
          <w:szCs w:val="32"/>
        </w:rPr>
        <w:t>（</w:t>
      </w:r>
      <w:bookmarkEnd w:id="13"/>
      <w:r>
        <w:rPr>
          <w:rFonts w:hint="default" w:ascii="Times New Roman" w:hAnsi="Times New Roman" w:eastAsia="仿宋_GB2312" w:cs="Times New Roman"/>
          <w:sz w:val="32"/>
          <w:szCs w:val="32"/>
        </w:rPr>
        <w:t>四）竞买保证金转账凭证复印件（加盖公章）；</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4" w:name="bookmark28"/>
      <w:r>
        <w:rPr>
          <w:rFonts w:hint="default" w:ascii="Times New Roman" w:hAnsi="Times New Roman" w:eastAsia="仿宋_GB2312" w:cs="Times New Roman"/>
          <w:sz w:val="32"/>
          <w:szCs w:val="32"/>
        </w:rPr>
        <w:t>（</w:t>
      </w:r>
      <w:bookmarkEnd w:id="14"/>
      <w:r>
        <w:rPr>
          <w:rFonts w:hint="default" w:ascii="Times New Roman" w:hAnsi="Times New Roman" w:eastAsia="仿宋_GB2312" w:cs="Times New Roman"/>
          <w:sz w:val="32"/>
          <w:szCs w:val="32"/>
        </w:rPr>
        <w:t>五）申请竞买人有效的《营业执照》复印件（加盖公章）；</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5" w:name="bookmark29"/>
      <w:r>
        <w:rPr>
          <w:rFonts w:hint="default" w:ascii="Times New Roman" w:hAnsi="Times New Roman" w:eastAsia="仿宋_GB2312" w:cs="Times New Roman"/>
          <w:sz w:val="32"/>
          <w:szCs w:val="32"/>
        </w:rPr>
        <w:t>（</w:t>
      </w:r>
      <w:bookmarkEnd w:id="15"/>
      <w:r>
        <w:rPr>
          <w:rFonts w:hint="default" w:ascii="Times New Roman" w:hAnsi="Times New Roman" w:eastAsia="仿宋_GB2312" w:cs="Times New Roman"/>
          <w:sz w:val="32"/>
          <w:szCs w:val="32"/>
        </w:rPr>
        <w:t>六）法定代表人身份证复印件（加盖公章）；</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16" w:name="bookmark30"/>
      <w:r>
        <w:rPr>
          <w:rFonts w:hint="default" w:ascii="Times New Roman" w:hAnsi="Times New Roman" w:eastAsia="仿宋_GB2312" w:cs="Times New Roman"/>
          <w:sz w:val="32"/>
          <w:szCs w:val="32"/>
        </w:rPr>
        <w:t>（</w:t>
      </w:r>
      <w:bookmarkEnd w:id="16"/>
      <w:r>
        <w:rPr>
          <w:rFonts w:hint="default" w:ascii="Times New Roman" w:hAnsi="Times New Roman" w:eastAsia="仿宋_GB2312" w:cs="Times New Roman"/>
          <w:sz w:val="32"/>
          <w:szCs w:val="32"/>
        </w:rPr>
        <w:t>七）授权他人代理的授权委托书及代理人身份证复印件（核对原件）</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）惠州仲恺高新技术产业开发区科技创新局出具的与</w:t>
      </w:r>
      <w:r>
        <w:rPr>
          <w:rFonts w:hint="default" w:ascii="Times New Roman" w:hAnsi="Times New Roman" w:eastAsia="仿宋_GB2312" w:cs="Times New Roman"/>
          <w:sz w:val="32"/>
          <w:szCs w:val="32"/>
          <w:lang w:val="en-US" w:eastAsia="zh-CN"/>
        </w:rPr>
        <w:t>本公告</w:t>
      </w:r>
      <w:r>
        <w:rPr>
          <w:rFonts w:hint="default" w:ascii="Times New Roman" w:hAnsi="Times New Roman" w:eastAsia="仿宋_GB2312" w:cs="Times New Roman"/>
          <w:sz w:val="32"/>
          <w:szCs w:val="32"/>
        </w:rPr>
        <w:t>宗地</w:t>
      </w:r>
      <w:r>
        <w:rPr>
          <w:rFonts w:hint="default" w:ascii="Times New Roman" w:hAnsi="Times New Roman" w:eastAsia="仿宋_GB2312" w:cs="Times New Roman"/>
          <w:sz w:val="32"/>
          <w:szCs w:val="32"/>
          <w:lang w:val="en-US" w:eastAsia="zh-CN"/>
        </w:rPr>
        <w:t>要求对应</w:t>
      </w:r>
      <w:r>
        <w:rPr>
          <w:rFonts w:hint="default" w:ascii="Times New Roman" w:hAnsi="Times New Roman" w:eastAsia="仿宋_GB2312" w:cs="Times New Roman"/>
          <w:sz w:val="32"/>
          <w:szCs w:val="32"/>
        </w:rPr>
        <w:t>产业类型一致的优先发展产业项目文件复印件（核对原件）</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十、签订成交确认书、出让合同及支付土地出让金</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付清出让金及有关税费后，竞得人可申请办理建设用地审批及土地登记发证手续。</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、竞买保证金退还或转付成交价款</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未成功竞得的竞买人所交竞买保证金，在5个工作日内予以退还；若违法违规竞买的，按有关规定处罚后予以退还。</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竞得人签订《成交确认书》后，缴交的保证金中按成交价的20%转作定金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竞得人逾期或拒绝签订《出让合同》的，定金不予退还。竞得人签订《出让合同》后，定金转作土地出让价款。</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、违规责任</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成交候选人（或竞得人）有下列行为之一的，取消候选人资格（或竞得资格），竞价结果无效，竞买保证金不予退还，造成损失的，成交候选人（或竞得人）还应依法承担赔偿责任：</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7" w:name="bookmark31"/>
      <w:r>
        <w:rPr>
          <w:rFonts w:hint="default" w:ascii="Times New Roman" w:hAnsi="Times New Roman" w:eastAsia="仿宋_GB2312" w:cs="Times New Roman"/>
          <w:sz w:val="32"/>
          <w:szCs w:val="32"/>
        </w:rPr>
        <w:t>（</w:t>
      </w:r>
      <w:bookmarkEnd w:id="17"/>
      <w:r>
        <w:rPr>
          <w:rFonts w:hint="default" w:ascii="Times New Roman" w:hAnsi="Times New Roman" w:eastAsia="仿宋_GB2312" w:cs="Times New Roman"/>
          <w:sz w:val="32"/>
          <w:szCs w:val="32"/>
        </w:rPr>
        <w:t>一）不符合竞买资格条件的；</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8" w:name="bookmark32"/>
      <w:r>
        <w:rPr>
          <w:rFonts w:hint="default" w:ascii="Times New Roman" w:hAnsi="Times New Roman" w:eastAsia="仿宋_GB2312" w:cs="Times New Roman"/>
          <w:sz w:val="32"/>
          <w:szCs w:val="32"/>
        </w:rPr>
        <w:t>（</w:t>
      </w:r>
      <w:bookmarkEnd w:id="18"/>
      <w:r>
        <w:rPr>
          <w:rFonts w:hint="default" w:ascii="Times New Roman" w:hAnsi="Times New Roman" w:eastAsia="仿宋_GB2312" w:cs="Times New Roman"/>
          <w:sz w:val="32"/>
          <w:szCs w:val="32"/>
        </w:rPr>
        <w:t>二）提供虚假文件材料，隐瞒重要事实的；</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9" w:name="bookmark33"/>
      <w:r>
        <w:rPr>
          <w:rFonts w:hint="default" w:ascii="Times New Roman" w:hAnsi="Times New Roman" w:eastAsia="仿宋_GB2312" w:cs="Times New Roman"/>
          <w:sz w:val="32"/>
          <w:szCs w:val="32"/>
        </w:rPr>
        <w:t>（</w:t>
      </w:r>
      <w:bookmarkEnd w:id="19"/>
      <w:r>
        <w:rPr>
          <w:rFonts w:hint="default" w:ascii="Times New Roman" w:hAnsi="Times New Roman" w:eastAsia="仿宋_GB2312" w:cs="Times New Roman"/>
          <w:sz w:val="32"/>
          <w:szCs w:val="32"/>
        </w:rPr>
        <w:t>三）采取行贿、恶意串通等非法手段竞得的；</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20" w:name="bookmark34"/>
      <w:r>
        <w:rPr>
          <w:rFonts w:hint="default" w:ascii="Times New Roman" w:hAnsi="Times New Roman" w:eastAsia="仿宋_GB2312" w:cs="Times New Roman"/>
          <w:sz w:val="32"/>
          <w:szCs w:val="32"/>
        </w:rPr>
        <w:t>（</w:t>
      </w:r>
      <w:bookmarkEnd w:id="20"/>
      <w:r>
        <w:rPr>
          <w:rFonts w:hint="default" w:ascii="Times New Roman" w:hAnsi="Times New Roman" w:eastAsia="仿宋_GB2312" w:cs="Times New Roman"/>
          <w:sz w:val="32"/>
          <w:szCs w:val="32"/>
        </w:rPr>
        <w:t>四）无正当理由逾期或拒绝签订成交确认书的</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、其他需要公告的事项</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21" w:name="bookmark35"/>
      <w:r>
        <w:rPr>
          <w:rFonts w:hint="default" w:ascii="Times New Roman" w:hAnsi="Times New Roman" w:eastAsia="仿宋_GB2312" w:cs="Times New Roman"/>
          <w:sz w:val="32"/>
          <w:szCs w:val="32"/>
        </w:rPr>
        <w:t>（</w:t>
      </w:r>
      <w:bookmarkEnd w:id="21"/>
      <w:r>
        <w:rPr>
          <w:rFonts w:hint="default" w:ascii="Times New Roman" w:hAnsi="Times New Roman" w:eastAsia="仿宋_GB2312" w:cs="Times New Roman"/>
          <w:sz w:val="32"/>
          <w:szCs w:val="32"/>
        </w:rPr>
        <w:t>一）本</w:t>
      </w:r>
      <w:r>
        <w:rPr>
          <w:rFonts w:hint="default" w:ascii="Times New Roman" w:hAnsi="Times New Roman" w:eastAsia="仿宋_GB2312" w:cs="Times New Roman"/>
          <w:sz w:val="32"/>
          <w:szCs w:val="32"/>
          <w:lang w:val="en-US" w:eastAsia="zh-CN"/>
        </w:rPr>
        <w:t>公告5宗</w:t>
      </w:r>
      <w:r>
        <w:rPr>
          <w:rFonts w:hint="default" w:ascii="Times New Roman" w:hAnsi="Times New Roman" w:eastAsia="仿宋_GB2312" w:cs="Times New Roman"/>
          <w:sz w:val="32"/>
          <w:szCs w:val="32"/>
        </w:rPr>
        <w:t>地网上挂牌出让的详细资料和具体要求，见网上挂牌交易系统。申请人可在网上挂牌交易系统下载挂牌出让公告、须知及相关交易文件</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22" w:name="bookmark36"/>
      <w:r>
        <w:rPr>
          <w:rFonts w:hint="default" w:ascii="Times New Roman" w:hAnsi="Times New Roman" w:eastAsia="仿宋_GB2312" w:cs="Times New Roman"/>
          <w:sz w:val="32"/>
          <w:szCs w:val="32"/>
          <w:lang w:val="zh-CN" w:eastAsia="zh-CN"/>
        </w:rPr>
        <w:t>（</w:t>
      </w:r>
      <w:bookmarkEnd w:id="22"/>
      <w:r>
        <w:rPr>
          <w:rFonts w:hint="default" w:ascii="Times New Roman" w:hAnsi="Times New Roman" w:eastAsia="仿宋_GB2312" w:cs="Times New Roman"/>
          <w:sz w:val="32"/>
          <w:szCs w:val="32"/>
        </w:rPr>
        <w:t>二）有意竞买者可以自行到地块现场踏勘（可在网上挂牌交易系统查阅用地红线图）</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（三）地块周边基础设施已基本配套，具备动工建设所必需的条件；</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23" w:name="bookmark37"/>
      <w:r>
        <w:rPr>
          <w:rFonts w:hint="default" w:ascii="Times New Roman" w:hAnsi="Times New Roman" w:eastAsia="仿宋_GB2312" w:cs="Times New Roman"/>
          <w:sz w:val="32"/>
          <w:szCs w:val="32"/>
        </w:rPr>
        <w:t>（</w:t>
      </w:r>
      <w:bookmarkEnd w:id="23"/>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）竞买申请一经受理确认后，即视为竞买人对网上挂牌出让公告、须知、相关交易文件及地块现状无异议并全部接受，并对有关承诺承担法律责任</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24" w:name="bookmark14"/>
      <w:bookmarkStart w:id="25" w:name="bookmark38"/>
      <w:r>
        <w:rPr>
          <w:rFonts w:hint="default" w:ascii="Times New Roman" w:hAnsi="Times New Roman" w:eastAsia="仿宋_GB2312" w:cs="Times New Roman"/>
          <w:sz w:val="32"/>
          <w:szCs w:val="32"/>
        </w:rPr>
        <w:t>（</w:t>
      </w:r>
      <w:bookmarkEnd w:id="24"/>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）非仲恺高新区注册登记的企业竞得土地使用权的，必须在竞得土地后2个月内在仲恺高新区市场监督管理部门注册成立项目开发公司，并以该公司名义办理土地出让与登记发证手续；</w:t>
      </w:r>
      <w:bookmarkEnd w:id="25"/>
      <w:bookmarkStart w:id="26" w:name="bookmark13"/>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End w:id="26"/>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）竞得人除缴交成交地价款外，还需按规定缴交契税等有关税费；</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highlight w:val="yellow"/>
          <w:lang w:val="en-US" w:eastAsia="zh-CN"/>
        </w:rPr>
      </w:pPr>
      <w:bookmarkStart w:id="27" w:name="bookmark15"/>
      <w:r>
        <w:rPr>
          <w:rFonts w:hint="default" w:ascii="Times New Roman" w:hAnsi="Times New Roman" w:eastAsia="仿宋_GB2312" w:cs="Times New Roman"/>
          <w:sz w:val="32"/>
          <w:szCs w:val="32"/>
        </w:rPr>
        <w:t>（</w:t>
      </w:r>
      <w:bookmarkEnd w:id="27"/>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）竞得人须在签订《国有建设用地使用权出让合同》（以下简称</w:t>
      </w:r>
      <w:r>
        <w:rPr>
          <w:rFonts w:hint="default" w:ascii="Times New Roman" w:hAnsi="Times New Roman" w:eastAsia="仿宋_GB2312" w:cs="Times New Roman"/>
          <w:sz w:val="32"/>
          <w:szCs w:val="32"/>
          <w:lang w:val="zh-CN" w:eastAsia="zh-CN"/>
        </w:rPr>
        <w:t>“《出让合同》”</w:t>
      </w:r>
      <w:r>
        <w:rPr>
          <w:rFonts w:hint="default" w:ascii="Times New Roman" w:hAnsi="Times New Roman" w:eastAsia="仿宋_GB2312" w:cs="Times New Roman"/>
          <w:sz w:val="32"/>
          <w:szCs w:val="32"/>
        </w:rPr>
        <w:t>）时，提交惠州仲恺高新技术产业开发区科技创新局出具的与</w:t>
      </w:r>
      <w:r>
        <w:rPr>
          <w:rFonts w:hint="default" w:ascii="Times New Roman" w:hAnsi="Times New Roman" w:eastAsia="仿宋_GB2312" w:cs="Times New Roman"/>
          <w:sz w:val="32"/>
          <w:szCs w:val="32"/>
          <w:lang w:val="en-US" w:eastAsia="zh-CN"/>
        </w:rPr>
        <w:t>本公告</w:t>
      </w:r>
      <w:r>
        <w:rPr>
          <w:rFonts w:hint="default" w:ascii="Times New Roman" w:hAnsi="Times New Roman" w:eastAsia="仿宋_GB2312" w:cs="Times New Roman"/>
          <w:sz w:val="32"/>
          <w:szCs w:val="32"/>
        </w:rPr>
        <w:t>宗地产业类型一致的优先发展产业项目文件，并同步</w:t>
      </w:r>
      <w:r>
        <w:rPr>
          <w:rFonts w:hint="default" w:ascii="Times New Roman" w:hAnsi="Times New Roman" w:eastAsia="仿宋_GB2312" w:cs="Times New Roman"/>
          <w:sz w:val="32"/>
          <w:szCs w:val="32"/>
          <w:lang w:val="en-US" w:eastAsia="zh-CN"/>
        </w:rPr>
        <w:t>提交与相关部门</w:t>
      </w:r>
      <w:r>
        <w:rPr>
          <w:rFonts w:hint="default" w:ascii="Times New Roman" w:hAnsi="Times New Roman" w:eastAsia="仿宋_GB2312" w:cs="Times New Roman"/>
          <w:sz w:val="32"/>
          <w:szCs w:val="32"/>
        </w:rPr>
        <w:t>签订</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《仲恺高新区产业项目投资建设协议书》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各宗地开发及使用规定详见附表（挂牌起始价及地块规划建设要求等主要指标附表）</w:t>
      </w:r>
      <w:bookmarkStart w:id="28" w:name="bookmark16"/>
      <w:r>
        <w:rPr>
          <w:rFonts w:hint="default" w:ascii="Times New Roman" w:hAnsi="Times New Roman" w:eastAsia="仿宋_GB2312" w:cs="Times New Roman"/>
          <w:sz w:val="32"/>
          <w:szCs w:val="32"/>
          <w:lang w:val="en-US"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）地块动工竣工时间及地块交付时间</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《出让合同》签订之日交付土地；动、竣工时间按《仲恺高新区产业项目投资建设协议书》执行</w:t>
      </w:r>
      <w:r>
        <w:rPr>
          <w:rFonts w:hint="default" w:ascii="Times New Roman" w:hAnsi="Times New Roman" w:eastAsia="仿宋_GB2312" w:cs="Times New Roman"/>
          <w:sz w:val="32"/>
          <w:szCs w:val="32"/>
          <w:lang w:eastAsia="zh-CN"/>
        </w:rPr>
        <w:t>；</w:t>
      </w:r>
    </w:p>
    <w:bookmarkEnd w:id="28"/>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仲恺高新区产业项目投资建设协议书》的后续监管职责由</w:t>
      </w:r>
      <w:r>
        <w:rPr>
          <w:rFonts w:hint="default" w:ascii="Times New Roman" w:hAnsi="Times New Roman" w:eastAsia="仿宋_GB2312" w:cs="Times New Roman"/>
          <w:sz w:val="32"/>
          <w:szCs w:val="32"/>
          <w:lang w:val="en-US" w:eastAsia="zh-CN"/>
        </w:rPr>
        <w:t>相关部门</w:t>
      </w:r>
      <w:r>
        <w:rPr>
          <w:rFonts w:hint="default" w:ascii="Times New Roman" w:hAnsi="Times New Roman" w:eastAsia="仿宋_GB2312" w:cs="Times New Roman"/>
          <w:sz w:val="32"/>
          <w:szCs w:val="32"/>
        </w:rPr>
        <w:t>负责对竞得人履行</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本公告5宗</w:t>
      </w: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均</w:t>
      </w:r>
      <w:r>
        <w:rPr>
          <w:rFonts w:hint="default" w:ascii="Times New Roman" w:hAnsi="Times New Roman" w:eastAsia="仿宋_GB2312" w:cs="Times New Roman"/>
          <w:b w:val="0"/>
          <w:i w:val="0"/>
          <w:caps w:val="0"/>
          <w:spacing w:val="0"/>
          <w:w w:val="100"/>
          <w:kern w:val="2"/>
          <w:sz w:val="32"/>
          <w:szCs w:val="32"/>
          <w:lang w:val="en-US" w:eastAsia="zh-CN" w:bidi="ar-SA"/>
        </w:rPr>
        <w:t>须按照统一规划、统一设计原则，满足整体规划要求；在满足《关于印发&lt;惠州市加快推进中小企业集中发展区规划建设的若干措施&gt;的通知》相关条件的前提下，如竞得人与规划编号ZKE-057-02中相邻其它地块的竞得人联合报建，可取消《规划设计条件告知书》图则中（非临路一侧）的建筑红线规定。但建筑物之间的间距须满足消防等相关规范要求，总平面方案以审批部门意见为准。</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十一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本公告5宗</w:t>
      </w: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设计方案应满足《规划设计条件告知书》要求，而《规划设计条件告知书》未明确的相关内容应符合现行国家、省、市有关的法律、法规、技术规范标准和政策等规定；</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十二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本公告5宗</w:t>
      </w:r>
      <w:r>
        <w:rPr>
          <w:rFonts w:hint="default" w:ascii="Times New Roman" w:hAnsi="Times New Roman" w:eastAsia="仿宋_GB2312" w:cs="Times New Roman"/>
          <w:sz w:val="32"/>
          <w:szCs w:val="32"/>
        </w:rPr>
        <w:t>地交易全程适用《惠州市政务服务数据管理局惠州市公共资源交易中心公共资源电子交易规则》（惠市政数〔2022〕3号）。</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十四</w:t>
      </w:r>
      <w:r>
        <w:rPr>
          <w:rFonts w:hint="default" w:ascii="Times New Roman" w:hAnsi="Times New Roman" w:eastAsia="黑体" w:cs="Times New Roman"/>
          <w:sz w:val="32"/>
          <w:szCs w:val="32"/>
        </w:rPr>
        <w:t>、联系方式</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出让方：惠州市仲恺高新区国土资源分局</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联系地址：广东省惠州市仲恺高新区和畅五路人才服务大厦5楼</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林先生</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en-US"/>
        </w:rPr>
        <w:t>0752-32716</w:t>
      </w:r>
      <w:r>
        <w:rPr>
          <w:rFonts w:hint="default" w:ascii="Times New Roman" w:hAnsi="Times New Roman" w:eastAsia="仿宋_GB2312" w:cs="Times New Roman"/>
          <w:sz w:val="32"/>
          <w:szCs w:val="32"/>
          <w:lang w:val="en-US" w:eastAsia="zh-CN"/>
        </w:rPr>
        <w:t>33</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交易机构：惠州市公共资源交易中心仲恺分中心</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联系地址：广东省惠州市仲恺高新区和畅五路人才服务大厦10楼</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 xml:space="preserve">汪先生 房女士  </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val="en-US" w:eastAsia="en-US"/>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en-US"/>
        </w:rPr>
        <w:t>0752-3278419</w:t>
      </w:r>
    </w:p>
    <w:p>
      <w:pPr>
        <w:pStyle w:val="7"/>
        <w:keepNext w:val="0"/>
        <w:keepLines w:val="0"/>
        <w:pageBreakBefore w:val="0"/>
        <w:widowControl w:val="0"/>
        <w:tabs>
          <w:tab w:val="left" w:pos="1283"/>
        </w:tabs>
        <w:kinsoku/>
        <w:overflowPunct/>
        <w:topLinePunct w:val="0"/>
        <w:autoSpaceDE/>
        <w:autoSpaceDN/>
        <w:bidi w:val="0"/>
        <w:spacing w:line="520" w:lineRule="exact"/>
        <w:ind w:firstLine="0"/>
        <w:jc w:val="both"/>
        <w:textAlignment w:val="auto"/>
        <w:rPr>
          <w:rFonts w:hint="default" w:ascii="Times New Roman" w:hAnsi="Times New Roman" w:eastAsia="仿宋_GB2312" w:cs="Times New Roman"/>
          <w:sz w:val="32"/>
          <w:szCs w:val="32"/>
        </w:rPr>
      </w:pP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注：本公告同时在下列网站及场所发布</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中国土地市场网：</w:t>
      </w:r>
      <w:r>
        <w:rPr>
          <w:rFonts w:hint="default" w:ascii="Times New Roman" w:hAnsi="Times New Roman" w:eastAsia="仿宋_GB2312" w:cs="Times New Roman"/>
          <w:sz w:val="32"/>
          <w:szCs w:val="32"/>
          <w:lang w:val="en-US" w:eastAsia="en-US"/>
        </w:rPr>
        <w:t>http://www.landchina.com</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广东省公共资源交易平台：https://ygp.gdzwfw.gov.cn/</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惠州市公共资源交易中心网：</w:t>
      </w:r>
      <w:r>
        <w:rPr>
          <w:rFonts w:hint="default" w:ascii="Times New Roman" w:hAnsi="Times New Roman" w:eastAsia="仿宋_GB2312" w:cs="Times New Roman"/>
          <w:color w:val="auto"/>
          <w:sz w:val="32"/>
          <w:szCs w:val="32"/>
          <w:u w:val="none"/>
          <w:lang w:val="en-US" w:eastAsia="en-US"/>
        </w:rPr>
        <w:t>http://zyjy.huizhou.gov.cn</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惠州市公共资源交易中心仲恺分中心网站：</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u w:val="none"/>
          <w:lang w:val="en-US" w:eastAsia="en-US"/>
        </w:rPr>
        <w:t>http</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val="en-US" w:eastAsia="en-US"/>
        </w:rPr>
        <w:t>//www.hzzk.gov.cn/gwhbm/hzsggzyjyzxzzf</w:t>
      </w:r>
      <w:r>
        <w:rPr>
          <w:rFonts w:hint="default" w:ascii="Times New Roman" w:hAnsi="Times New Roman" w:eastAsia="仿宋_GB2312" w:cs="Times New Roman"/>
          <w:color w:val="auto"/>
          <w:sz w:val="32"/>
          <w:szCs w:val="32"/>
          <w:u w:val="none"/>
          <w:lang w:val="en-US" w:eastAsia="zh-CN"/>
        </w:rPr>
        <w:t>z</w:t>
      </w:r>
      <w:r>
        <w:rPr>
          <w:rFonts w:hint="default" w:ascii="Times New Roman" w:hAnsi="Times New Roman" w:eastAsia="仿宋_GB2312" w:cs="Times New Roman"/>
          <w:color w:val="auto"/>
          <w:sz w:val="32"/>
          <w:szCs w:val="32"/>
          <w:u w:val="none"/>
          <w:lang w:val="en-US" w:eastAsia="en-US"/>
        </w:rPr>
        <w:t>x/index. html</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惠州市仲恺高新区国土资源分局网站：</w:t>
      </w:r>
      <w:bookmarkStart w:id="29" w:name="_GoBack"/>
      <w:r>
        <w:rPr>
          <w:rFonts w:hint="default" w:ascii="Times New Roman" w:hAnsi="Times New Roman" w:eastAsia="仿宋_GB2312" w:cs="Times New Roman"/>
          <w:color w:val="auto"/>
          <w:sz w:val="32"/>
          <w:szCs w:val="32"/>
          <w:u w:val="none"/>
          <w:lang w:val="en-US" w:eastAsia="en-US"/>
        </w:rPr>
        <w:t>http://www.hzzk.gov.cn/gwhbm/zzgxqgtzyfj/</w:t>
      </w:r>
      <w:bookmarkEnd w:id="29"/>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惠州市公共资源交易中心仲恺分中心服务大厅电子屏幕。</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数字证书办理地址：广东省惠州市惠城区三新北路31号市 民服务中心3号楼惠州市公共资源交易中心一楼大厅1号土地与矿业交易窗口。</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联系人：罗工</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val="en-US" w:eastAsia="en-US"/>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en-US"/>
        </w:rPr>
        <w:t>0752-7121029</w:t>
      </w:r>
    </w:p>
    <w:p>
      <w:pPr>
        <w:pStyle w:val="7"/>
        <w:keepNext w:val="0"/>
        <w:keepLines w:val="0"/>
        <w:pageBreakBefore w:val="0"/>
        <w:widowControl w:val="0"/>
        <w:tabs>
          <w:tab w:val="left" w:pos="1283"/>
        </w:tabs>
        <w:kinsoku/>
        <w:overflowPunct/>
        <w:topLinePunct w:val="0"/>
        <w:autoSpaceDE/>
        <w:autoSpaceDN/>
        <w:bidi w:val="0"/>
        <w:spacing w:line="52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val="0"/>
        <w:overflowPunct/>
        <w:topLinePunct w:val="0"/>
        <w:autoSpaceDE/>
        <w:autoSpaceDN/>
        <w:bidi w:val="0"/>
        <w:spacing w:line="520" w:lineRule="exact"/>
        <w:ind w:firstLine="3200" w:firstLineChars="1000"/>
        <w:jc w:val="right"/>
        <w:textAlignment w:val="auto"/>
        <w:rPr>
          <w:rFonts w:hint="default" w:ascii="Times New Roman" w:hAnsi="Times New Roman" w:eastAsia="仿宋_GB2312" w:cs="Times New Roman"/>
          <w:color w:val="auto"/>
          <w:sz w:val="32"/>
          <w:szCs w:val="32"/>
          <w:u w:val="single"/>
          <w:lang w:eastAsia="zh-CN"/>
        </w:rPr>
      </w:pPr>
      <w:r>
        <w:rPr>
          <w:rFonts w:hint="default" w:ascii="Times New Roman" w:hAnsi="Times New Roman" w:eastAsia="仿宋_GB2312" w:cs="Times New Roman"/>
          <w:color w:val="auto"/>
          <w:sz w:val="32"/>
          <w:szCs w:val="32"/>
          <w:lang w:eastAsia="zh-CN"/>
        </w:rPr>
        <w:t xml:space="preserve">仲恺高新区国土资源分局    </w:t>
      </w:r>
    </w:p>
    <w:p>
      <w:pPr>
        <w:keepNext w:val="0"/>
        <w:keepLines w:val="0"/>
        <w:pageBreakBefore w:val="0"/>
        <w:widowControl w:val="0"/>
        <w:kinsoku/>
        <w:overflowPunct/>
        <w:topLinePunct w:val="0"/>
        <w:autoSpaceDE/>
        <w:autoSpaceDN/>
        <w:bidi w:val="0"/>
        <w:spacing w:line="520" w:lineRule="exact"/>
        <w:jc w:val="center"/>
        <w:textAlignment w:val="auto"/>
        <w:rPr>
          <w:rFonts w:hint="default" w:ascii="Times New Roman" w:hAnsi="Times New Roman" w:eastAsia="仿宋_GB2312" w:cs="Times New Roman"/>
          <w:szCs w:val="32"/>
        </w:rPr>
      </w:pPr>
      <w:r>
        <w:rPr>
          <w:rFonts w:hint="default" w:ascii="Times New Roman" w:hAnsi="Times New Roman" w:eastAsia="仿宋_GB2312" w:cs="Times New Roman"/>
          <w:color w:val="auto"/>
          <w:sz w:val="32"/>
          <w:szCs w:val="32"/>
          <w:lang w:eastAsia="zh-CN"/>
        </w:rPr>
        <w:t xml:space="preserve">                          2023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eastAsia="zh-CN"/>
        </w:rPr>
        <w:t>日</w:t>
      </w:r>
    </w:p>
    <w:p>
      <w:pPr>
        <w:pStyle w:val="5"/>
        <w:keepNext w:val="0"/>
        <w:keepLines w:val="0"/>
        <w:pageBreakBefore w:val="0"/>
        <w:widowControl w:val="0"/>
        <w:kinsoku/>
        <w:overflowPunct/>
        <w:topLinePunct w:val="0"/>
        <w:autoSpaceDE/>
        <w:autoSpaceDN/>
        <w:bidi w:val="0"/>
        <w:ind w:left="0" w:leftChars="0" w:firstLine="0" w:firstLineChars="0"/>
        <w:textAlignment w:val="auto"/>
        <w:rPr>
          <w:rFonts w:hint="default" w:ascii="Times New Roman" w:hAnsi="Times New Roman" w:eastAsia="仿宋_GB2312" w:cs="Times New Roman"/>
          <w:szCs w:val="32"/>
        </w:rPr>
        <w:sectPr>
          <w:pgSz w:w="11906" w:h="16838"/>
          <w:pgMar w:top="2098" w:right="1474" w:bottom="1984" w:left="1587" w:header="851" w:footer="992" w:gutter="0"/>
          <w:cols w:space="720" w:num="1"/>
          <w:docGrid w:type="lines" w:linePitch="312" w:charSpace="0"/>
        </w:sectPr>
      </w:pPr>
    </w:p>
    <w:p>
      <w:pPr>
        <w:keepNext w:val="0"/>
        <w:keepLines w:val="0"/>
        <w:pageBreakBefore w:val="0"/>
        <w:widowControl w:val="0"/>
        <w:tabs>
          <w:tab w:val="left" w:pos="11340"/>
        </w:tabs>
        <w:kinsoku/>
        <w:overflowPunct/>
        <w:topLinePunct w:val="0"/>
        <w:autoSpaceDE/>
        <w:autoSpaceDN/>
        <w:bidi w:val="0"/>
        <w:spacing w:line="0" w:lineRule="atLeast"/>
        <w:jc w:val="center"/>
        <w:textAlignment w:val="auto"/>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挂牌起始价及地块规划建设要求等主要指标附表</w:t>
      </w:r>
    </w:p>
    <w:tbl>
      <w:tblPr>
        <w:tblStyle w:val="3"/>
        <w:tblpPr w:leftFromText="180" w:rightFromText="180" w:vertAnchor="text" w:horzAnchor="page" w:tblpXSpec="center" w:tblpY="137"/>
        <w:tblOverlap w:val="never"/>
        <w:tblW w:w="15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9"/>
        <w:gridCol w:w="661"/>
        <w:gridCol w:w="640"/>
        <w:gridCol w:w="487"/>
        <w:gridCol w:w="695"/>
        <w:gridCol w:w="755"/>
        <w:gridCol w:w="1000"/>
        <w:gridCol w:w="559"/>
        <w:gridCol w:w="747"/>
        <w:gridCol w:w="854"/>
        <w:gridCol w:w="714"/>
        <w:gridCol w:w="714"/>
        <w:gridCol w:w="743"/>
        <w:gridCol w:w="670"/>
        <w:gridCol w:w="772"/>
        <w:gridCol w:w="773"/>
        <w:gridCol w:w="123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地块挂牌编号</w:t>
            </w:r>
          </w:p>
        </w:tc>
        <w:tc>
          <w:tcPr>
            <w:tcW w:w="709"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土地</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位置</w:t>
            </w:r>
          </w:p>
        </w:tc>
        <w:tc>
          <w:tcPr>
            <w:tcW w:w="661"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用地</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编号</w:t>
            </w:r>
          </w:p>
        </w:tc>
        <w:tc>
          <w:tcPr>
            <w:tcW w:w="640"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宗地总面积（㎡）</w:t>
            </w:r>
          </w:p>
        </w:tc>
        <w:tc>
          <w:tcPr>
            <w:tcW w:w="487"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土地</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用途</w:t>
            </w:r>
          </w:p>
        </w:tc>
        <w:tc>
          <w:tcPr>
            <w:tcW w:w="4610" w:type="dxa"/>
            <w:gridSpan w:val="6"/>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规划指标</w:t>
            </w:r>
          </w:p>
        </w:tc>
        <w:tc>
          <w:tcPr>
            <w:tcW w:w="714"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出让</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年限（年）</w:t>
            </w:r>
          </w:p>
        </w:tc>
        <w:tc>
          <w:tcPr>
            <w:tcW w:w="714"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挂牌</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起始价</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43"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加价</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幅度</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670"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竞买</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保证金</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72"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保证金截止时间</w:t>
            </w:r>
          </w:p>
        </w:tc>
        <w:tc>
          <w:tcPr>
            <w:tcW w:w="773"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投资强度</w:t>
            </w:r>
          </w:p>
        </w:tc>
        <w:tc>
          <w:tcPr>
            <w:tcW w:w="1230"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产业类型</w:t>
            </w:r>
          </w:p>
        </w:tc>
        <w:tc>
          <w:tcPr>
            <w:tcW w:w="1095"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产业项目协议书签订部门</w:t>
            </w:r>
          </w:p>
        </w:tc>
        <w:tc>
          <w:tcPr>
            <w:tcW w:w="1095"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709"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661"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640"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487" w:type="dxa"/>
            <w:vMerge w:val="continue"/>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6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计算指标用地面积（㎡）</w:t>
            </w:r>
          </w:p>
        </w:tc>
        <w:tc>
          <w:tcPr>
            <w:tcW w:w="75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容积率R</w:t>
            </w:r>
          </w:p>
        </w:tc>
        <w:tc>
          <w:tcPr>
            <w:tcW w:w="100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计容建筑面积S（㎡）</w:t>
            </w:r>
          </w:p>
        </w:tc>
        <w:tc>
          <w:tcPr>
            <w:tcW w:w="55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建筑系数（%）</w:t>
            </w:r>
          </w:p>
        </w:tc>
        <w:tc>
          <w:tcPr>
            <w:tcW w:w="74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绿地率（%）</w:t>
            </w:r>
          </w:p>
        </w:tc>
        <w:tc>
          <w:tcPr>
            <w:tcW w:w="85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机动车停车位配建要求</w:t>
            </w:r>
          </w:p>
        </w:tc>
        <w:tc>
          <w:tcPr>
            <w:tcW w:w="714"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714"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743"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670"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772"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773"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1230"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1095"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1095"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default" w:ascii="Times New Roman" w:hAnsi="Times New Roman" w:cs="Times New Roman"/>
                <w:sz w:val="18"/>
                <w:szCs w:val="18"/>
                <w:lang w:val="en-US" w:eastAsia="zh-CN"/>
              </w:rPr>
              <w:t>18</w:t>
            </w:r>
            <w:r>
              <w:rPr>
                <w:rFonts w:hint="default" w:ascii="Times New Roman" w:hAnsi="Times New Roman" w:cs="Times New Roman"/>
                <w:sz w:val="18"/>
                <w:szCs w:val="18"/>
              </w:rPr>
              <w:t>号</w:t>
            </w:r>
          </w:p>
        </w:tc>
        <w:tc>
          <w:tcPr>
            <w:tcW w:w="70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2"/>
                <w:sz w:val="18"/>
                <w:szCs w:val="18"/>
              </w:rPr>
            </w:pPr>
            <w:r>
              <w:rPr>
                <w:rFonts w:hint="default" w:ascii="Times New Roman" w:hAnsi="Times New Roman" w:eastAsia="宋体" w:cs="Times New Roman"/>
                <w:color w:val="auto"/>
                <w:kern w:val="0"/>
                <w:sz w:val="18"/>
                <w:szCs w:val="18"/>
                <w:highlight w:val="none"/>
                <w:lang w:val="en-US" w:eastAsia="zh-CN"/>
              </w:rPr>
              <w:t>惠州</w:t>
            </w:r>
            <w:r>
              <w:rPr>
                <w:rFonts w:hint="default" w:ascii="Times New Roman" w:hAnsi="Times New Roman" w:eastAsia="宋体" w:cs="Times New Roman"/>
                <w:kern w:val="2"/>
                <w:sz w:val="18"/>
                <w:szCs w:val="18"/>
                <w:u w:val="none"/>
                <w:lang w:val="en-US" w:eastAsia="zh-CN" w:bidi="ar-SA"/>
              </w:rPr>
              <w:t>仲恺高新区沥林镇</w:t>
            </w:r>
          </w:p>
        </w:tc>
        <w:tc>
          <w:tcPr>
            <w:tcW w:w="661"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u w:val="none"/>
                <w:lang w:val="en-US" w:eastAsia="zh-CN" w:bidi="ar-SA"/>
              </w:rPr>
              <w:t>ZKE-057-02-01-0</w:t>
            </w:r>
            <w:r>
              <w:rPr>
                <w:rFonts w:hint="default" w:ascii="Times New Roman" w:hAnsi="Times New Roman" w:cs="Times New Roman"/>
                <w:kern w:val="2"/>
                <w:sz w:val="18"/>
                <w:szCs w:val="18"/>
                <w:u w:val="none"/>
                <w:lang w:val="en-US" w:eastAsia="zh-CN" w:bidi="ar-SA"/>
              </w:rPr>
              <w:t>2</w:t>
            </w:r>
          </w:p>
        </w:tc>
        <w:tc>
          <w:tcPr>
            <w:tcW w:w="64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kern w:val="2"/>
                <w:sz w:val="18"/>
                <w:szCs w:val="18"/>
                <w:lang w:val="en-US" w:eastAsia="zh-CN"/>
              </w:rPr>
              <w:t>4377（其中使用权面积2984</w:t>
            </w:r>
            <w:r>
              <w:rPr>
                <w:rFonts w:hint="default" w:ascii="Times New Roman" w:hAnsi="Times New Roman" w:cs="Times New Roman"/>
                <w:sz w:val="18"/>
                <w:szCs w:val="18"/>
              </w:rPr>
              <w:t>㎡</w:t>
            </w:r>
            <w:r>
              <w:rPr>
                <w:rFonts w:hint="default" w:ascii="Times New Roman" w:hAnsi="Times New Roman" w:eastAsia="宋体" w:cs="Times New Roman"/>
                <w:kern w:val="2"/>
                <w:sz w:val="18"/>
                <w:szCs w:val="18"/>
                <w:lang w:val="en-US" w:eastAsia="zh-CN"/>
              </w:rPr>
              <w:t>）</w:t>
            </w:r>
          </w:p>
        </w:tc>
        <w:tc>
          <w:tcPr>
            <w:tcW w:w="48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工业用地</w:t>
            </w:r>
          </w:p>
        </w:tc>
        <w:tc>
          <w:tcPr>
            <w:tcW w:w="6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kern w:val="2"/>
                <w:sz w:val="18"/>
                <w:szCs w:val="18"/>
                <w:lang w:val="en-US" w:eastAsia="zh-CN"/>
              </w:rPr>
              <w:t>4377</w:t>
            </w:r>
          </w:p>
        </w:tc>
        <w:tc>
          <w:tcPr>
            <w:tcW w:w="75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1.6≤R≤2.5</w:t>
            </w:r>
          </w:p>
        </w:tc>
        <w:tc>
          <w:tcPr>
            <w:tcW w:w="100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lang w:val="en-US"/>
              </w:rPr>
            </w:pPr>
            <w:r>
              <w:rPr>
                <w:rFonts w:hint="default" w:ascii="Times New Roman" w:hAnsi="Times New Roman" w:cs="Times New Roman"/>
                <w:color w:val="auto"/>
                <w:kern w:val="0"/>
                <w:sz w:val="18"/>
                <w:szCs w:val="18"/>
                <w:highlight w:val="none"/>
                <w:lang w:val="en-US" w:eastAsia="zh-CN"/>
              </w:rPr>
              <w:t>7003</w:t>
            </w:r>
            <w:r>
              <w:rPr>
                <w:rFonts w:hint="default" w:ascii="Times New Roman" w:hAnsi="Times New Roman" w:eastAsia="宋体" w:cs="Times New Roman"/>
                <w:color w:val="auto"/>
                <w:kern w:val="0"/>
                <w:sz w:val="18"/>
                <w:szCs w:val="18"/>
                <w:highlight w:val="none"/>
                <w:lang w:val="en-US" w:eastAsia="zh-CN"/>
              </w:rPr>
              <w:t>≤S≤</w:t>
            </w:r>
            <w:r>
              <w:rPr>
                <w:rFonts w:hint="default" w:ascii="Times New Roman" w:hAnsi="Times New Roman" w:cs="Times New Roman"/>
                <w:color w:val="auto"/>
                <w:kern w:val="0"/>
                <w:sz w:val="18"/>
                <w:szCs w:val="18"/>
                <w:highlight w:val="none"/>
                <w:lang w:val="en-US" w:eastAsia="zh-CN"/>
              </w:rPr>
              <w:t>10943</w:t>
            </w:r>
          </w:p>
        </w:tc>
        <w:tc>
          <w:tcPr>
            <w:tcW w:w="55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≥30</w:t>
            </w:r>
          </w:p>
        </w:tc>
        <w:tc>
          <w:tcPr>
            <w:tcW w:w="74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15≤绿地率≤20</w:t>
            </w:r>
          </w:p>
        </w:tc>
        <w:tc>
          <w:tcPr>
            <w:tcW w:w="85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按《规划设计条件告知书》要求配建</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50</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lang w:val="en-US"/>
              </w:rPr>
            </w:pPr>
            <w:r>
              <w:rPr>
                <w:rFonts w:hint="default" w:ascii="Times New Roman" w:hAnsi="Times New Roman" w:cs="Times New Roman"/>
                <w:color w:val="auto"/>
                <w:kern w:val="0"/>
                <w:sz w:val="18"/>
                <w:szCs w:val="18"/>
                <w:highlight w:val="none"/>
                <w:lang w:val="en-US" w:eastAsia="zh-CN"/>
              </w:rPr>
              <w:t>469</w:t>
            </w:r>
          </w:p>
        </w:tc>
        <w:tc>
          <w:tcPr>
            <w:tcW w:w="74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lang w:val="en-US" w:eastAsia="zh-CN"/>
              </w:rPr>
              <w:t>0</w:t>
            </w:r>
          </w:p>
        </w:tc>
        <w:tc>
          <w:tcPr>
            <w:tcW w:w="67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lang w:val="en-US"/>
              </w:rPr>
            </w:pPr>
            <w:r>
              <w:rPr>
                <w:rFonts w:hint="default" w:ascii="Times New Roman" w:hAnsi="Times New Roman" w:cs="Times New Roman"/>
                <w:color w:val="auto"/>
                <w:kern w:val="0"/>
                <w:sz w:val="18"/>
                <w:szCs w:val="18"/>
                <w:highlight w:val="none"/>
                <w:lang w:val="en-US" w:eastAsia="zh-CN"/>
              </w:rPr>
              <w:t>94</w:t>
            </w:r>
          </w:p>
        </w:tc>
        <w:tc>
          <w:tcPr>
            <w:tcW w:w="772"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2023年4月</w:t>
            </w:r>
            <w:r>
              <w:rPr>
                <w:rFonts w:hint="default" w:ascii="Times New Roman" w:hAnsi="Times New Roman" w:cs="Times New Roman"/>
                <w:color w:val="auto"/>
                <w:kern w:val="0"/>
                <w:sz w:val="18"/>
                <w:szCs w:val="18"/>
                <w:highlight w:val="none"/>
                <w:lang w:val="en-US" w:eastAsia="zh-CN"/>
              </w:rPr>
              <w:t>1</w:t>
            </w:r>
            <w:r>
              <w:rPr>
                <w:rFonts w:hint="eastAsia" w:cs="Times New Roman"/>
                <w:color w:val="auto"/>
                <w:kern w:val="0"/>
                <w:sz w:val="18"/>
                <w:szCs w:val="18"/>
                <w:highlight w:val="none"/>
                <w:lang w:val="en-US" w:eastAsia="zh-CN"/>
              </w:rPr>
              <w:t>7</w:t>
            </w:r>
            <w:r>
              <w:rPr>
                <w:rFonts w:hint="default" w:ascii="Times New Roman" w:hAnsi="Times New Roman" w:eastAsia="宋体" w:cs="Times New Roman"/>
                <w:color w:val="auto"/>
                <w:kern w:val="0"/>
                <w:sz w:val="18"/>
                <w:szCs w:val="18"/>
                <w:highlight w:val="none"/>
                <w:lang w:val="en-US" w:eastAsia="zh-CN"/>
              </w:rPr>
              <w:t>日9时</w:t>
            </w:r>
          </w:p>
        </w:tc>
        <w:tc>
          <w:tcPr>
            <w:tcW w:w="77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lang w:val="en-US" w:eastAsia="zh-CN"/>
              </w:rPr>
              <w:t>000 元/㎡</w:t>
            </w:r>
          </w:p>
        </w:tc>
        <w:tc>
          <w:tcPr>
            <w:tcW w:w="123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u w:val="none"/>
                <w:lang w:val="en-US" w:eastAsia="zh-CN" w:bidi="ar-SA"/>
              </w:rPr>
              <w:t>移动新能源技术开发及应用</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惠州仲恺高新技术产业开发区经济发展局</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kern w:val="0"/>
                <w:sz w:val="18"/>
                <w:szCs w:val="18"/>
              </w:rPr>
              <w:t>行政办公及生活服务配套设施用地面积不得超过总用地面积的</w:t>
            </w:r>
            <w:r>
              <w:rPr>
                <w:rFonts w:hint="default" w:ascii="Times New Roman" w:hAnsi="Times New Roman" w:cs="Times New Roman"/>
                <w:kern w:val="0"/>
                <w:sz w:val="18"/>
                <w:szCs w:val="18"/>
                <w:lang w:val="en-US" w:eastAsia="zh-CN"/>
              </w:rPr>
              <w:t>4.5</w:t>
            </w:r>
            <w:r>
              <w:rPr>
                <w:rFonts w:hint="default" w:ascii="Times New Roman" w:hAnsi="Times New Roman"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71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default" w:ascii="Times New Roman" w:hAnsi="Times New Roman" w:cs="Times New Roman"/>
                <w:sz w:val="18"/>
                <w:szCs w:val="18"/>
                <w:lang w:val="en-US" w:eastAsia="zh-CN"/>
              </w:rPr>
              <w:t>19</w:t>
            </w:r>
            <w:r>
              <w:rPr>
                <w:rFonts w:hint="default" w:ascii="Times New Roman" w:hAnsi="Times New Roman" w:cs="Times New Roman"/>
                <w:sz w:val="18"/>
                <w:szCs w:val="18"/>
              </w:rPr>
              <w:t>号</w:t>
            </w:r>
          </w:p>
        </w:tc>
        <w:tc>
          <w:tcPr>
            <w:tcW w:w="70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惠州</w:t>
            </w:r>
            <w:r>
              <w:rPr>
                <w:rFonts w:hint="default" w:ascii="Times New Roman" w:hAnsi="Times New Roman" w:eastAsia="宋体" w:cs="Times New Roman"/>
                <w:kern w:val="2"/>
                <w:sz w:val="18"/>
                <w:szCs w:val="18"/>
                <w:u w:val="none"/>
                <w:lang w:val="en-US" w:eastAsia="zh-CN" w:bidi="ar-SA"/>
              </w:rPr>
              <w:t>仲恺高新区沥林镇</w:t>
            </w:r>
          </w:p>
        </w:tc>
        <w:tc>
          <w:tcPr>
            <w:tcW w:w="661"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u w:val="none"/>
                <w:lang w:val="en-US" w:eastAsia="zh-CN" w:bidi="ar-SA"/>
              </w:rPr>
              <w:t>ZKE-057-02-0</w:t>
            </w:r>
            <w:r>
              <w:rPr>
                <w:rFonts w:hint="default" w:ascii="Times New Roman" w:hAnsi="Times New Roman" w:cs="Times New Roman"/>
                <w:kern w:val="2"/>
                <w:sz w:val="18"/>
                <w:szCs w:val="18"/>
                <w:u w:val="none"/>
                <w:lang w:val="en-US" w:eastAsia="zh-CN" w:bidi="ar-SA"/>
              </w:rPr>
              <w:t>2</w:t>
            </w:r>
            <w:r>
              <w:rPr>
                <w:rFonts w:hint="default" w:ascii="Times New Roman" w:hAnsi="Times New Roman" w:eastAsia="宋体" w:cs="Times New Roman"/>
                <w:kern w:val="2"/>
                <w:sz w:val="18"/>
                <w:szCs w:val="18"/>
                <w:u w:val="none"/>
                <w:lang w:val="en-US" w:eastAsia="zh-CN" w:bidi="ar-SA"/>
              </w:rPr>
              <w:t>-0</w:t>
            </w:r>
            <w:r>
              <w:rPr>
                <w:rFonts w:hint="default" w:ascii="Times New Roman" w:hAnsi="Times New Roman" w:cs="Times New Roman"/>
                <w:kern w:val="2"/>
                <w:sz w:val="18"/>
                <w:szCs w:val="18"/>
                <w:u w:val="none"/>
                <w:lang w:val="en-US" w:eastAsia="zh-CN" w:bidi="ar-SA"/>
              </w:rPr>
              <w:t>2</w:t>
            </w:r>
          </w:p>
        </w:tc>
        <w:tc>
          <w:tcPr>
            <w:tcW w:w="64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1546（其中使用权面积为727</w:t>
            </w:r>
            <w:r>
              <w:rPr>
                <w:rFonts w:hint="default" w:ascii="Times New Roman" w:hAnsi="Times New Roman" w:cs="Times New Roman"/>
                <w:sz w:val="18"/>
                <w:szCs w:val="18"/>
              </w:rPr>
              <w:t>㎡</w:t>
            </w:r>
            <w:r>
              <w:rPr>
                <w:rFonts w:hint="default" w:ascii="Times New Roman" w:hAnsi="Times New Roman" w:eastAsia="宋体" w:cs="Times New Roman"/>
                <w:color w:val="auto"/>
                <w:kern w:val="0"/>
                <w:sz w:val="18"/>
                <w:szCs w:val="18"/>
                <w:highlight w:val="none"/>
                <w:lang w:val="en-US" w:eastAsia="zh-CN"/>
              </w:rPr>
              <w:t>）</w:t>
            </w:r>
          </w:p>
        </w:tc>
        <w:tc>
          <w:tcPr>
            <w:tcW w:w="48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工业用地</w:t>
            </w:r>
          </w:p>
        </w:tc>
        <w:tc>
          <w:tcPr>
            <w:tcW w:w="6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1546</w:t>
            </w:r>
          </w:p>
        </w:tc>
        <w:tc>
          <w:tcPr>
            <w:tcW w:w="75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1.6≤R≤2.5</w:t>
            </w:r>
          </w:p>
        </w:tc>
        <w:tc>
          <w:tcPr>
            <w:tcW w:w="100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lang w:val="en-US"/>
              </w:rPr>
            </w:pPr>
            <w:r>
              <w:rPr>
                <w:rFonts w:hint="default" w:ascii="Times New Roman" w:hAnsi="Times New Roman" w:cs="Times New Roman"/>
                <w:color w:val="auto"/>
                <w:kern w:val="0"/>
                <w:sz w:val="18"/>
                <w:szCs w:val="18"/>
                <w:highlight w:val="none"/>
                <w:lang w:val="en-US" w:eastAsia="zh-CN"/>
              </w:rPr>
              <w:t>2474</w:t>
            </w:r>
            <w:r>
              <w:rPr>
                <w:rFonts w:hint="default" w:ascii="Times New Roman" w:hAnsi="Times New Roman" w:eastAsia="宋体" w:cs="Times New Roman"/>
                <w:color w:val="auto"/>
                <w:kern w:val="0"/>
                <w:sz w:val="18"/>
                <w:szCs w:val="18"/>
                <w:highlight w:val="none"/>
                <w:lang w:val="en-US" w:eastAsia="zh-CN"/>
              </w:rPr>
              <w:t>≤S≤</w:t>
            </w:r>
            <w:r>
              <w:rPr>
                <w:rFonts w:hint="default" w:ascii="Times New Roman" w:hAnsi="Times New Roman" w:cs="Times New Roman"/>
                <w:color w:val="auto"/>
                <w:kern w:val="0"/>
                <w:sz w:val="18"/>
                <w:szCs w:val="18"/>
                <w:highlight w:val="none"/>
                <w:lang w:val="en-US" w:eastAsia="zh-CN"/>
              </w:rPr>
              <w:t>3865</w:t>
            </w:r>
          </w:p>
        </w:tc>
        <w:tc>
          <w:tcPr>
            <w:tcW w:w="55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≥30</w:t>
            </w:r>
          </w:p>
        </w:tc>
        <w:tc>
          <w:tcPr>
            <w:tcW w:w="74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15≤绿地率≤20</w:t>
            </w:r>
          </w:p>
        </w:tc>
        <w:tc>
          <w:tcPr>
            <w:tcW w:w="85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按《规划设计条件告知书》要求配建</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50</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lang w:val="en-US"/>
              </w:rPr>
            </w:pPr>
            <w:r>
              <w:rPr>
                <w:rFonts w:hint="default" w:ascii="Times New Roman" w:hAnsi="Times New Roman" w:cs="Times New Roman"/>
                <w:color w:val="auto"/>
                <w:kern w:val="0"/>
                <w:sz w:val="18"/>
                <w:szCs w:val="18"/>
                <w:highlight w:val="none"/>
                <w:lang w:val="en-US" w:eastAsia="zh-CN"/>
              </w:rPr>
              <w:t>179</w:t>
            </w:r>
          </w:p>
        </w:tc>
        <w:tc>
          <w:tcPr>
            <w:tcW w:w="74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lang w:val="en-US" w:eastAsia="zh-CN"/>
              </w:rPr>
              <w:t>0</w:t>
            </w:r>
          </w:p>
        </w:tc>
        <w:tc>
          <w:tcPr>
            <w:tcW w:w="67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lang w:val="en-US"/>
              </w:rPr>
            </w:pPr>
            <w:r>
              <w:rPr>
                <w:rFonts w:hint="default" w:ascii="Times New Roman" w:hAnsi="Times New Roman" w:cs="Times New Roman"/>
                <w:color w:val="auto"/>
                <w:kern w:val="0"/>
                <w:sz w:val="18"/>
                <w:szCs w:val="18"/>
                <w:highlight w:val="none"/>
                <w:lang w:val="en-US" w:eastAsia="zh-CN"/>
              </w:rPr>
              <w:t>36</w:t>
            </w:r>
          </w:p>
        </w:tc>
        <w:tc>
          <w:tcPr>
            <w:tcW w:w="772"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2023年4月</w:t>
            </w:r>
            <w:r>
              <w:rPr>
                <w:rFonts w:hint="default" w:ascii="Times New Roman" w:hAnsi="Times New Roman" w:cs="Times New Roman"/>
                <w:color w:val="auto"/>
                <w:kern w:val="0"/>
                <w:sz w:val="18"/>
                <w:szCs w:val="18"/>
                <w:highlight w:val="none"/>
                <w:lang w:val="en-US" w:eastAsia="zh-CN"/>
              </w:rPr>
              <w:t>1</w:t>
            </w:r>
            <w:r>
              <w:rPr>
                <w:rFonts w:hint="eastAsia" w:cs="Times New Roman"/>
                <w:color w:val="auto"/>
                <w:kern w:val="0"/>
                <w:sz w:val="18"/>
                <w:szCs w:val="18"/>
                <w:highlight w:val="none"/>
                <w:lang w:val="en-US" w:eastAsia="zh-CN"/>
              </w:rPr>
              <w:t>7</w:t>
            </w:r>
            <w:r>
              <w:rPr>
                <w:rFonts w:hint="default" w:ascii="Times New Roman" w:hAnsi="Times New Roman" w:eastAsia="宋体" w:cs="Times New Roman"/>
                <w:color w:val="auto"/>
                <w:kern w:val="0"/>
                <w:sz w:val="18"/>
                <w:szCs w:val="18"/>
                <w:highlight w:val="none"/>
                <w:lang w:val="en-US" w:eastAsia="zh-CN"/>
              </w:rPr>
              <w:t>日9时</w:t>
            </w:r>
          </w:p>
        </w:tc>
        <w:tc>
          <w:tcPr>
            <w:tcW w:w="77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cs="Times New Roman"/>
                <w:color w:val="auto"/>
                <w:kern w:val="0"/>
                <w:sz w:val="18"/>
                <w:szCs w:val="18"/>
                <w:highlight w:val="none"/>
                <w:lang w:val="en-US" w:eastAsia="zh-CN"/>
              </w:rPr>
              <w:t>0000</w:t>
            </w:r>
            <w:r>
              <w:rPr>
                <w:rFonts w:hint="default" w:ascii="Times New Roman" w:hAnsi="Times New Roman" w:eastAsia="宋体" w:cs="Times New Roman"/>
                <w:color w:val="auto"/>
                <w:kern w:val="0"/>
                <w:sz w:val="18"/>
                <w:szCs w:val="18"/>
                <w:highlight w:val="none"/>
                <w:lang w:val="en-US" w:eastAsia="zh-CN"/>
              </w:rPr>
              <w:t>元/㎡</w:t>
            </w:r>
          </w:p>
        </w:tc>
        <w:tc>
          <w:tcPr>
            <w:tcW w:w="1230" w:type="dxa"/>
            <w:noWrap w:val="0"/>
            <w:vAlign w:val="center"/>
          </w:tcPr>
          <w:p>
            <w:pPr>
              <w:keepNext w:val="0"/>
              <w:keepLines w:val="0"/>
              <w:pageBreakBefore w:val="0"/>
              <w:widowControl w:val="0"/>
              <w:suppressLineNumbers w:val="0"/>
              <w:kinsoku/>
              <w:overflowPunct/>
              <w:topLinePunct w:val="0"/>
              <w:autoSpaceDE/>
              <w:autoSpaceDN/>
              <w:bidi w:val="0"/>
              <w:jc w:val="left"/>
              <w:textAlignment w:val="auto"/>
              <w:rPr>
                <w:rFonts w:hint="default" w:ascii="Times New Roman" w:hAnsi="Times New Roman" w:eastAsia="宋体" w:cs="Times New Roman"/>
                <w:color w:val="auto"/>
                <w:sz w:val="18"/>
                <w:szCs w:val="18"/>
                <w:highlight w:val="none"/>
                <w:u w:val="none"/>
                <w:lang w:eastAsia="zh-CN" w:bidi="ar-SA"/>
              </w:rPr>
            </w:pPr>
            <w:r>
              <w:rPr>
                <w:rFonts w:hint="default" w:ascii="Times New Roman" w:hAnsi="Times New Roman" w:eastAsia="宋体" w:cs="Times New Roman"/>
                <w:color w:val="auto"/>
                <w:kern w:val="0"/>
                <w:sz w:val="18"/>
                <w:szCs w:val="18"/>
                <w:highlight w:val="none"/>
                <w:u w:val="none"/>
                <w:lang w:val="en-US" w:eastAsia="zh-CN" w:bidi="ar-SA"/>
              </w:rPr>
              <w:t>智能家居</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惠州仲恺高新技术产业开发区经济发展局</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行政办公及生活服务配套设施用地面积不得超过总用地面积的</w:t>
            </w:r>
            <w:r>
              <w:rPr>
                <w:rFonts w:hint="default" w:ascii="Times New Roman" w:hAnsi="Times New Roman" w:cs="Times New Roman"/>
                <w:kern w:val="0"/>
                <w:sz w:val="18"/>
                <w:szCs w:val="18"/>
                <w:lang w:val="en-US" w:eastAsia="zh-CN"/>
              </w:rPr>
              <w:t>4.5</w:t>
            </w:r>
            <w:r>
              <w:rPr>
                <w:rFonts w:hint="default" w:ascii="Times New Roman" w:hAnsi="Times New Roman"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71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default" w:ascii="Times New Roman" w:hAnsi="Times New Roman" w:cs="Times New Roman"/>
                <w:sz w:val="18"/>
                <w:szCs w:val="18"/>
                <w:lang w:val="en-US" w:eastAsia="zh-CN"/>
              </w:rPr>
              <w:t>20</w:t>
            </w:r>
            <w:r>
              <w:rPr>
                <w:rFonts w:hint="default" w:ascii="Times New Roman" w:hAnsi="Times New Roman" w:cs="Times New Roman"/>
                <w:sz w:val="18"/>
                <w:szCs w:val="18"/>
              </w:rPr>
              <w:t>号</w:t>
            </w:r>
          </w:p>
        </w:tc>
        <w:tc>
          <w:tcPr>
            <w:tcW w:w="70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w:t>
            </w:r>
            <w:r>
              <w:rPr>
                <w:rFonts w:hint="default" w:ascii="Times New Roman" w:hAnsi="Times New Roman" w:eastAsia="宋体" w:cs="Times New Roman"/>
                <w:kern w:val="2"/>
                <w:sz w:val="18"/>
                <w:szCs w:val="18"/>
                <w:u w:val="none"/>
                <w:lang w:val="en-US" w:eastAsia="zh-CN" w:bidi="ar-SA"/>
              </w:rPr>
              <w:t>仲恺高新区沥林镇</w:t>
            </w:r>
          </w:p>
        </w:tc>
        <w:tc>
          <w:tcPr>
            <w:tcW w:w="661"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u w:val="none"/>
                <w:lang w:val="en-US" w:eastAsia="zh-CN" w:bidi="ar-SA"/>
              </w:rPr>
              <w:t>ZKE-057-02-0</w:t>
            </w:r>
            <w:r>
              <w:rPr>
                <w:rFonts w:hint="default" w:ascii="Times New Roman" w:hAnsi="Times New Roman" w:cs="Times New Roman"/>
                <w:kern w:val="2"/>
                <w:sz w:val="18"/>
                <w:szCs w:val="18"/>
                <w:u w:val="none"/>
                <w:lang w:val="en-US" w:eastAsia="zh-CN" w:bidi="ar-SA"/>
              </w:rPr>
              <w:t>3</w:t>
            </w:r>
            <w:r>
              <w:rPr>
                <w:rFonts w:hint="default" w:ascii="Times New Roman" w:hAnsi="Times New Roman" w:eastAsia="宋体" w:cs="Times New Roman"/>
                <w:kern w:val="2"/>
                <w:sz w:val="18"/>
                <w:szCs w:val="18"/>
                <w:u w:val="none"/>
                <w:lang w:val="en-US" w:eastAsia="zh-CN" w:bidi="ar-SA"/>
              </w:rPr>
              <w:t>-0</w:t>
            </w:r>
            <w:r>
              <w:rPr>
                <w:rFonts w:hint="default" w:ascii="Times New Roman" w:hAnsi="Times New Roman" w:cs="Times New Roman"/>
                <w:kern w:val="2"/>
                <w:sz w:val="18"/>
                <w:szCs w:val="18"/>
                <w:u w:val="none"/>
                <w:lang w:val="en-US" w:eastAsia="zh-CN" w:bidi="ar-SA"/>
              </w:rPr>
              <w:t>2</w:t>
            </w:r>
          </w:p>
        </w:tc>
        <w:tc>
          <w:tcPr>
            <w:tcW w:w="64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9919</w:t>
            </w:r>
            <w:r>
              <w:rPr>
                <w:rFonts w:hint="default" w:ascii="Times New Roman" w:hAnsi="Times New Roman" w:cs="Times New Roman"/>
                <w:sz w:val="18"/>
                <w:szCs w:val="18"/>
              </w:rPr>
              <w:t>（其中使用权面积</w:t>
            </w:r>
            <w:r>
              <w:rPr>
                <w:rFonts w:hint="default" w:ascii="Times New Roman" w:hAnsi="Times New Roman" w:cs="Times New Roman"/>
                <w:sz w:val="18"/>
                <w:szCs w:val="18"/>
                <w:lang w:val="en-US" w:eastAsia="zh-CN"/>
              </w:rPr>
              <w:t>8714</w:t>
            </w:r>
            <w:r>
              <w:rPr>
                <w:rFonts w:hint="default" w:ascii="Times New Roman" w:hAnsi="Times New Roman" w:cs="Times New Roman"/>
                <w:sz w:val="18"/>
                <w:szCs w:val="18"/>
              </w:rPr>
              <w:t>㎡）</w:t>
            </w:r>
          </w:p>
        </w:tc>
        <w:tc>
          <w:tcPr>
            <w:tcW w:w="48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工业用地</w:t>
            </w:r>
          </w:p>
        </w:tc>
        <w:tc>
          <w:tcPr>
            <w:tcW w:w="6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9919</w:t>
            </w:r>
          </w:p>
        </w:tc>
        <w:tc>
          <w:tcPr>
            <w:tcW w:w="75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1.6≤R≤2.5</w:t>
            </w:r>
          </w:p>
        </w:tc>
        <w:tc>
          <w:tcPr>
            <w:tcW w:w="100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highlight w:val="yellow"/>
                <w:lang w:val="en-US" w:eastAsia="zh-CN"/>
              </w:rPr>
            </w:pPr>
            <w:r>
              <w:rPr>
                <w:rFonts w:hint="default" w:ascii="Times New Roman" w:hAnsi="Times New Roman" w:cs="Times New Roman"/>
                <w:sz w:val="18"/>
                <w:szCs w:val="18"/>
                <w:highlight w:val="none"/>
                <w:lang w:val="en-US" w:eastAsia="zh-CN"/>
              </w:rPr>
              <w:t>15871</w:t>
            </w:r>
            <w:r>
              <w:rPr>
                <w:rFonts w:hint="default" w:ascii="Times New Roman" w:hAnsi="Times New Roman" w:cs="Times New Roman"/>
                <w:sz w:val="18"/>
                <w:szCs w:val="18"/>
                <w:highlight w:val="none"/>
              </w:rPr>
              <w:t>≤S≤</w:t>
            </w:r>
            <w:r>
              <w:rPr>
                <w:rFonts w:hint="default" w:ascii="Times New Roman" w:hAnsi="Times New Roman" w:cs="Times New Roman"/>
                <w:sz w:val="18"/>
                <w:szCs w:val="18"/>
                <w:highlight w:val="none"/>
                <w:lang w:val="en-US" w:eastAsia="zh-CN"/>
              </w:rPr>
              <w:t>24798</w:t>
            </w:r>
          </w:p>
        </w:tc>
        <w:tc>
          <w:tcPr>
            <w:tcW w:w="55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≥30</w:t>
            </w:r>
          </w:p>
        </w:tc>
        <w:tc>
          <w:tcPr>
            <w:tcW w:w="74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15≤绿地率≤20</w:t>
            </w:r>
          </w:p>
        </w:tc>
        <w:tc>
          <w:tcPr>
            <w:tcW w:w="85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kern w:val="0"/>
                <w:sz w:val="18"/>
                <w:szCs w:val="18"/>
              </w:rPr>
              <w:t>按《规划设计条件告知书》要求配建</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auto"/>
                <w:kern w:val="0"/>
                <w:sz w:val="18"/>
                <w:szCs w:val="18"/>
                <w:highlight w:val="none"/>
                <w:lang w:val="en-US" w:eastAsia="zh-CN"/>
              </w:rPr>
              <w:t>50</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1027</w:t>
            </w:r>
          </w:p>
        </w:tc>
        <w:tc>
          <w:tcPr>
            <w:tcW w:w="74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0</w:t>
            </w:r>
          </w:p>
        </w:tc>
        <w:tc>
          <w:tcPr>
            <w:tcW w:w="67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206</w:t>
            </w:r>
          </w:p>
        </w:tc>
        <w:tc>
          <w:tcPr>
            <w:tcW w:w="772"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2023年</w:t>
            </w:r>
            <w:r>
              <w:rPr>
                <w:rFonts w:hint="default" w:ascii="Times New Roman" w:hAnsi="Times New Roman" w:cs="Times New Roman"/>
                <w:sz w:val="18"/>
                <w:szCs w:val="18"/>
                <w:lang w:val="en-US" w:eastAsia="zh-CN"/>
              </w:rPr>
              <w:t>4</w:t>
            </w:r>
            <w:r>
              <w:rPr>
                <w:rFonts w:hint="default" w:ascii="Times New Roman" w:hAnsi="Times New Roman" w:cs="Times New Roman"/>
                <w:sz w:val="18"/>
                <w:szCs w:val="18"/>
              </w:rPr>
              <w:t>月</w:t>
            </w:r>
            <w:r>
              <w:rPr>
                <w:rFonts w:hint="default" w:ascii="Times New Roman" w:hAnsi="Times New Roman" w:cs="Times New Roman"/>
                <w:sz w:val="18"/>
                <w:szCs w:val="18"/>
                <w:lang w:val="en-US" w:eastAsia="zh-CN"/>
              </w:rPr>
              <w:t>1</w:t>
            </w:r>
            <w:r>
              <w:rPr>
                <w:rFonts w:hint="eastAsia" w:cs="Times New Roman"/>
                <w:sz w:val="18"/>
                <w:szCs w:val="18"/>
                <w:lang w:val="en-US" w:eastAsia="zh-CN"/>
              </w:rPr>
              <w:t>7</w:t>
            </w:r>
            <w:r>
              <w:rPr>
                <w:rFonts w:hint="default" w:ascii="Times New Roman" w:hAnsi="Times New Roman" w:cs="Times New Roman"/>
                <w:sz w:val="18"/>
                <w:szCs w:val="18"/>
              </w:rPr>
              <w:t>日9时</w:t>
            </w:r>
          </w:p>
        </w:tc>
        <w:tc>
          <w:tcPr>
            <w:tcW w:w="77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1689</w:t>
            </w:r>
            <w:r>
              <w:rPr>
                <w:rFonts w:hint="default" w:ascii="Times New Roman" w:hAnsi="Times New Roman" w:cs="Times New Roman"/>
                <w:sz w:val="18"/>
                <w:szCs w:val="18"/>
              </w:rPr>
              <w:t>元/㎡</w:t>
            </w:r>
          </w:p>
        </w:tc>
        <w:tc>
          <w:tcPr>
            <w:tcW w:w="1230" w:type="dxa"/>
            <w:noWrap w:val="0"/>
            <w:vAlign w:val="center"/>
          </w:tcPr>
          <w:p>
            <w:pPr>
              <w:keepNext w:val="0"/>
              <w:keepLines w:val="0"/>
              <w:pageBreakBefore w:val="0"/>
              <w:widowControl w:val="0"/>
              <w:suppressLineNumbers w:val="0"/>
              <w:kinsoku/>
              <w:overflowPunct/>
              <w:topLinePunct w:val="0"/>
              <w:autoSpaceDE/>
              <w:autoSpaceDN/>
              <w:bidi w:val="0"/>
              <w:jc w:val="left"/>
              <w:textAlignment w:val="auto"/>
              <w:rPr>
                <w:rFonts w:hint="default" w:ascii="Times New Roman" w:hAnsi="Times New Roman" w:eastAsia="宋体" w:cs="Times New Roman"/>
                <w:color w:val="auto"/>
                <w:sz w:val="18"/>
                <w:szCs w:val="18"/>
                <w:highlight w:val="none"/>
                <w:u w:val="none"/>
                <w:lang w:eastAsia="zh-CN" w:bidi="ar-SA"/>
              </w:rPr>
            </w:pPr>
            <w:r>
              <w:rPr>
                <w:rFonts w:hint="default" w:ascii="Times New Roman" w:hAnsi="Times New Roman" w:eastAsia="宋体" w:cs="Times New Roman"/>
                <w:color w:val="auto"/>
                <w:kern w:val="0"/>
                <w:sz w:val="18"/>
                <w:szCs w:val="18"/>
                <w:highlight w:val="none"/>
                <w:u w:val="none"/>
                <w:lang w:val="en-US" w:eastAsia="zh-CN" w:bidi="ar-SA"/>
              </w:rPr>
              <w:t>新型电子元器件（光电子器件）制造</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惠州仲恺高新技术产业开发区经济发展局</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行政办公及生活服务配套设施用地面积不得超过总用地面积的</w:t>
            </w:r>
            <w:r>
              <w:rPr>
                <w:rFonts w:hint="default" w:ascii="Times New Roman" w:hAnsi="Times New Roman" w:cs="Times New Roman"/>
                <w:kern w:val="0"/>
                <w:sz w:val="18"/>
                <w:szCs w:val="18"/>
                <w:lang w:val="en-US" w:eastAsia="zh-CN"/>
              </w:rPr>
              <w:t>4.5</w:t>
            </w:r>
            <w:r>
              <w:rPr>
                <w:rFonts w:hint="default" w:ascii="Times New Roman" w:hAnsi="Times New Roman"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71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default" w:ascii="Times New Roman" w:hAnsi="Times New Roman" w:cs="Times New Roman"/>
                <w:sz w:val="18"/>
                <w:szCs w:val="18"/>
                <w:lang w:val="en-US" w:eastAsia="zh-CN"/>
              </w:rPr>
              <w:t>21</w:t>
            </w:r>
            <w:r>
              <w:rPr>
                <w:rFonts w:hint="default" w:ascii="Times New Roman" w:hAnsi="Times New Roman" w:cs="Times New Roman"/>
                <w:sz w:val="18"/>
                <w:szCs w:val="18"/>
              </w:rPr>
              <w:t>号</w:t>
            </w:r>
          </w:p>
        </w:tc>
        <w:tc>
          <w:tcPr>
            <w:tcW w:w="70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w:t>
            </w:r>
            <w:r>
              <w:rPr>
                <w:rFonts w:hint="default" w:ascii="Times New Roman" w:hAnsi="Times New Roman" w:eastAsia="宋体" w:cs="Times New Roman"/>
                <w:kern w:val="2"/>
                <w:sz w:val="18"/>
                <w:szCs w:val="18"/>
                <w:u w:val="none"/>
                <w:lang w:val="en-US" w:eastAsia="zh-CN" w:bidi="ar-SA"/>
              </w:rPr>
              <w:t>仲恺高新区沥林镇</w:t>
            </w:r>
          </w:p>
        </w:tc>
        <w:tc>
          <w:tcPr>
            <w:tcW w:w="661"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kern w:val="2"/>
                <w:sz w:val="18"/>
                <w:szCs w:val="18"/>
                <w:u w:val="none"/>
                <w:lang w:val="en-US" w:eastAsia="zh-CN" w:bidi="ar-SA"/>
              </w:rPr>
              <w:t>ZKE-057-02-0</w:t>
            </w:r>
            <w:r>
              <w:rPr>
                <w:rFonts w:hint="default" w:ascii="Times New Roman" w:hAnsi="Times New Roman" w:cs="Times New Roman"/>
                <w:kern w:val="2"/>
                <w:sz w:val="18"/>
                <w:szCs w:val="18"/>
                <w:u w:val="none"/>
                <w:lang w:val="en-US" w:eastAsia="zh-CN" w:bidi="ar-SA"/>
              </w:rPr>
              <w:t>4</w:t>
            </w:r>
            <w:r>
              <w:rPr>
                <w:rFonts w:hint="default" w:ascii="Times New Roman" w:hAnsi="Times New Roman" w:eastAsia="宋体" w:cs="Times New Roman"/>
                <w:kern w:val="2"/>
                <w:sz w:val="18"/>
                <w:szCs w:val="18"/>
                <w:u w:val="none"/>
                <w:lang w:val="en-US" w:eastAsia="zh-CN" w:bidi="ar-SA"/>
              </w:rPr>
              <w:t>-0</w:t>
            </w:r>
            <w:r>
              <w:rPr>
                <w:rFonts w:hint="default" w:ascii="Times New Roman" w:hAnsi="Times New Roman" w:cs="Times New Roman"/>
                <w:kern w:val="2"/>
                <w:sz w:val="18"/>
                <w:szCs w:val="18"/>
                <w:u w:val="none"/>
                <w:lang w:val="en-US" w:eastAsia="zh-CN" w:bidi="ar-SA"/>
              </w:rPr>
              <w:t>2</w:t>
            </w:r>
          </w:p>
        </w:tc>
        <w:tc>
          <w:tcPr>
            <w:tcW w:w="64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3592</w:t>
            </w:r>
            <w:r>
              <w:rPr>
                <w:rFonts w:hint="default" w:ascii="Times New Roman" w:hAnsi="Times New Roman" w:cs="Times New Roman"/>
                <w:sz w:val="18"/>
                <w:szCs w:val="18"/>
              </w:rPr>
              <w:t>（其中使用权面积</w:t>
            </w:r>
            <w:r>
              <w:rPr>
                <w:rFonts w:hint="default" w:ascii="Times New Roman" w:hAnsi="Times New Roman" w:cs="Times New Roman"/>
                <w:sz w:val="18"/>
                <w:szCs w:val="18"/>
                <w:lang w:val="en-US" w:eastAsia="zh-CN"/>
              </w:rPr>
              <w:t>2443</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w:t>
            </w:r>
          </w:p>
        </w:tc>
        <w:tc>
          <w:tcPr>
            <w:tcW w:w="48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工业用地</w:t>
            </w:r>
          </w:p>
        </w:tc>
        <w:tc>
          <w:tcPr>
            <w:tcW w:w="6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3592</w:t>
            </w:r>
          </w:p>
        </w:tc>
        <w:tc>
          <w:tcPr>
            <w:tcW w:w="75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val="en-US" w:eastAsia="zh-CN"/>
              </w:rPr>
              <w:t>3.0</w:t>
            </w:r>
            <w:r>
              <w:rPr>
                <w:rFonts w:hint="default" w:ascii="Times New Roman" w:hAnsi="Times New Roman" w:eastAsia="宋体" w:cs="Times New Roman"/>
                <w:color w:val="auto"/>
                <w:kern w:val="0"/>
                <w:sz w:val="18"/>
                <w:szCs w:val="18"/>
                <w:highlight w:val="none"/>
                <w:lang w:val="en-US" w:eastAsia="zh-CN"/>
              </w:rPr>
              <w:t>≤R≤</w:t>
            </w:r>
            <w:r>
              <w:rPr>
                <w:rFonts w:hint="default" w:ascii="Times New Roman" w:hAnsi="Times New Roman" w:cs="Times New Roman"/>
                <w:color w:val="auto"/>
                <w:kern w:val="0"/>
                <w:sz w:val="18"/>
                <w:szCs w:val="18"/>
                <w:highlight w:val="none"/>
                <w:lang w:val="en-US" w:eastAsia="zh-CN"/>
              </w:rPr>
              <w:t>3</w:t>
            </w:r>
            <w:r>
              <w:rPr>
                <w:rFonts w:hint="default" w:ascii="Times New Roman" w:hAnsi="Times New Roman" w:eastAsia="宋体" w:cs="Times New Roman"/>
                <w:color w:val="auto"/>
                <w:kern w:val="0"/>
                <w:sz w:val="18"/>
                <w:szCs w:val="18"/>
                <w:highlight w:val="none"/>
                <w:lang w:val="en-US" w:eastAsia="zh-CN"/>
              </w:rPr>
              <w:t>.5</w:t>
            </w:r>
          </w:p>
        </w:tc>
        <w:tc>
          <w:tcPr>
            <w:tcW w:w="100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none"/>
                <w:lang w:val="en-US" w:eastAsia="zh-CN"/>
              </w:rPr>
              <w:t>10776</w:t>
            </w:r>
            <w:r>
              <w:rPr>
                <w:rFonts w:hint="default" w:ascii="Times New Roman" w:hAnsi="Times New Roman" w:cs="Times New Roman"/>
                <w:sz w:val="18"/>
                <w:szCs w:val="18"/>
                <w:highlight w:val="none"/>
              </w:rPr>
              <w:t>≤S≤</w:t>
            </w:r>
            <w:r>
              <w:rPr>
                <w:rFonts w:hint="default" w:ascii="Times New Roman" w:hAnsi="Times New Roman" w:cs="Times New Roman"/>
                <w:sz w:val="18"/>
                <w:szCs w:val="18"/>
                <w:highlight w:val="none"/>
                <w:lang w:val="en-US" w:eastAsia="zh-CN"/>
              </w:rPr>
              <w:t>12572</w:t>
            </w:r>
          </w:p>
        </w:tc>
        <w:tc>
          <w:tcPr>
            <w:tcW w:w="55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≥30</w:t>
            </w:r>
          </w:p>
        </w:tc>
        <w:tc>
          <w:tcPr>
            <w:tcW w:w="74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15≤绿地率≤20</w:t>
            </w:r>
          </w:p>
        </w:tc>
        <w:tc>
          <w:tcPr>
            <w:tcW w:w="85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按《规划设计条件告知书》要求配建</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eastAsia="宋体" w:cs="Times New Roman"/>
                <w:color w:val="auto"/>
                <w:kern w:val="0"/>
                <w:sz w:val="18"/>
                <w:szCs w:val="18"/>
                <w:highlight w:val="none"/>
                <w:lang w:val="en-US" w:eastAsia="zh-CN"/>
              </w:rPr>
              <w:t>50</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391</w:t>
            </w:r>
          </w:p>
        </w:tc>
        <w:tc>
          <w:tcPr>
            <w:tcW w:w="74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10</w:t>
            </w:r>
          </w:p>
        </w:tc>
        <w:tc>
          <w:tcPr>
            <w:tcW w:w="67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79</w:t>
            </w:r>
          </w:p>
        </w:tc>
        <w:tc>
          <w:tcPr>
            <w:tcW w:w="772"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2023年4月</w:t>
            </w:r>
            <w:r>
              <w:rPr>
                <w:rFonts w:hint="default" w:ascii="Times New Roman" w:hAnsi="Times New Roman" w:cs="Times New Roman"/>
                <w:color w:val="auto"/>
                <w:kern w:val="0"/>
                <w:sz w:val="18"/>
                <w:szCs w:val="18"/>
                <w:highlight w:val="none"/>
                <w:lang w:val="en-US" w:eastAsia="zh-CN"/>
              </w:rPr>
              <w:t>1</w:t>
            </w:r>
            <w:r>
              <w:rPr>
                <w:rFonts w:hint="eastAsia" w:cs="Times New Roman"/>
                <w:color w:val="auto"/>
                <w:kern w:val="0"/>
                <w:sz w:val="18"/>
                <w:szCs w:val="18"/>
                <w:highlight w:val="none"/>
                <w:lang w:val="en-US" w:eastAsia="zh-CN"/>
              </w:rPr>
              <w:t>7</w:t>
            </w:r>
            <w:r>
              <w:rPr>
                <w:rFonts w:hint="default" w:ascii="Times New Roman" w:hAnsi="Times New Roman" w:eastAsia="宋体" w:cs="Times New Roman"/>
                <w:color w:val="auto"/>
                <w:kern w:val="0"/>
                <w:sz w:val="18"/>
                <w:szCs w:val="18"/>
                <w:highlight w:val="none"/>
                <w:lang w:val="en-US" w:eastAsia="zh-CN"/>
              </w:rPr>
              <w:t>日9时</w:t>
            </w:r>
          </w:p>
        </w:tc>
        <w:tc>
          <w:tcPr>
            <w:tcW w:w="77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cs="Times New Roman"/>
                <w:color w:val="auto"/>
                <w:kern w:val="0"/>
                <w:sz w:val="18"/>
                <w:szCs w:val="18"/>
                <w:highlight w:val="none"/>
                <w:lang w:val="en-US" w:eastAsia="zh-CN"/>
              </w:rPr>
              <w:t>33</w:t>
            </w:r>
            <w:r>
              <w:rPr>
                <w:rFonts w:hint="default" w:ascii="Times New Roman" w:hAnsi="Times New Roman" w:eastAsia="宋体" w:cs="Times New Roman"/>
                <w:color w:val="auto"/>
                <w:kern w:val="0"/>
                <w:sz w:val="18"/>
                <w:szCs w:val="18"/>
                <w:highlight w:val="none"/>
                <w:lang w:val="en-US" w:eastAsia="zh-CN"/>
              </w:rPr>
              <w:t>00 元/㎡</w:t>
            </w:r>
          </w:p>
        </w:tc>
        <w:tc>
          <w:tcPr>
            <w:tcW w:w="1230" w:type="dxa"/>
            <w:noWrap w:val="0"/>
            <w:vAlign w:val="center"/>
          </w:tcPr>
          <w:p>
            <w:pPr>
              <w:keepNext w:val="0"/>
              <w:keepLines w:val="0"/>
              <w:pageBreakBefore w:val="0"/>
              <w:widowControl w:val="0"/>
              <w:suppressLineNumbers w:val="0"/>
              <w:kinsoku/>
              <w:overflowPunct/>
              <w:topLinePunct w:val="0"/>
              <w:autoSpaceDE/>
              <w:autoSpaceDN/>
              <w:bidi w:val="0"/>
              <w:jc w:val="left"/>
              <w:textAlignment w:val="auto"/>
              <w:rPr>
                <w:rFonts w:hint="default" w:ascii="Times New Roman" w:hAnsi="Times New Roman" w:eastAsia="宋体" w:cs="Times New Roman"/>
                <w:color w:val="auto"/>
                <w:kern w:val="2"/>
                <w:sz w:val="18"/>
                <w:szCs w:val="18"/>
                <w:lang w:eastAsia="zh-CN" w:bidi="ar-SA"/>
              </w:rPr>
            </w:pPr>
            <w:r>
              <w:rPr>
                <w:rFonts w:hint="default" w:ascii="Times New Roman" w:hAnsi="Times New Roman" w:eastAsia="宋体" w:cs="Times New Roman"/>
                <w:color w:val="auto"/>
                <w:kern w:val="2"/>
                <w:sz w:val="18"/>
                <w:szCs w:val="18"/>
                <w:lang w:val="en-US" w:eastAsia="zh-CN" w:bidi="ar-SA"/>
              </w:rPr>
              <w:t xml:space="preserve">网络基础设施、大数据基础设施、高效能计算基础 </w:t>
            </w:r>
          </w:p>
          <w:p>
            <w:pPr>
              <w:keepNext w:val="0"/>
              <w:keepLines w:val="0"/>
              <w:pageBreakBefore w:val="0"/>
              <w:widowControl w:val="0"/>
              <w:kinsoku/>
              <w:overflowPunct/>
              <w:topLinePunct w:val="0"/>
              <w:autoSpaceDE/>
              <w:autoSpaceDN/>
              <w:bidi w:val="0"/>
              <w:jc w:val="left"/>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2"/>
                <w:sz w:val="18"/>
                <w:szCs w:val="18"/>
                <w:lang w:val="en-US" w:eastAsia="zh-CN" w:bidi="ar-SA"/>
              </w:rPr>
              <w:t>设施等智能化基础设施</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惠州仲恺高新技术产业开发区经济发展局</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行政办公及生活服务配套设施用地面积不得超过总用地面积的</w:t>
            </w:r>
            <w:r>
              <w:rPr>
                <w:rFonts w:hint="default" w:ascii="Times New Roman" w:hAnsi="Times New Roman" w:cs="Times New Roman"/>
                <w:kern w:val="0"/>
                <w:sz w:val="18"/>
                <w:szCs w:val="18"/>
                <w:lang w:val="en-US" w:eastAsia="zh-CN"/>
              </w:rPr>
              <w:t>4.5</w:t>
            </w:r>
            <w:r>
              <w:rPr>
                <w:rFonts w:hint="default" w:ascii="Times New Roman" w:hAnsi="Times New Roman"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71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default" w:ascii="Times New Roman" w:hAnsi="Times New Roman" w:cs="Times New Roman"/>
                <w:sz w:val="18"/>
                <w:szCs w:val="18"/>
                <w:lang w:val="en-US" w:eastAsia="zh-CN"/>
              </w:rPr>
              <w:t>22</w:t>
            </w:r>
            <w:r>
              <w:rPr>
                <w:rFonts w:hint="default" w:ascii="Times New Roman" w:hAnsi="Times New Roman" w:cs="Times New Roman"/>
                <w:sz w:val="18"/>
                <w:szCs w:val="18"/>
              </w:rPr>
              <w:t>号</w:t>
            </w:r>
          </w:p>
        </w:tc>
        <w:tc>
          <w:tcPr>
            <w:tcW w:w="70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w:t>
            </w:r>
            <w:r>
              <w:rPr>
                <w:rFonts w:hint="default" w:ascii="Times New Roman" w:hAnsi="Times New Roman" w:eastAsia="宋体" w:cs="Times New Roman"/>
                <w:kern w:val="2"/>
                <w:sz w:val="18"/>
                <w:szCs w:val="18"/>
                <w:u w:val="none"/>
                <w:lang w:val="en-US" w:eastAsia="zh-CN" w:bidi="ar-SA"/>
              </w:rPr>
              <w:t>仲恺高新区沥林镇</w:t>
            </w:r>
          </w:p>
        </w:tc>
        <w:tc>
          <w:tcPr>
            <w:tcW w:w="661"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kern w:val="2"/>
                <w:sz w:val="18"/>
                <w:szCs w:val="18"/>
                <w:u w:val="none"/>
                <w:lang w:val="en-US" w:eastAsia="zh-CN" w:bidi="ar-SA"/>
              </w:rPr>
              <w:t>ZKE-057-02-0</w:t>
            </w:r>
            <w:r>
              <w:rPr>
                <w:rFonts w:hint="default" w:ascii="Times New Roman" w:hAnsi="Times New Roman" w:cs="Times New Roman"/>
                <w:kern w:val="2"/>
                <w:sz w:val="18"/>
                <w:szCs w:val="18"/>
                <w:u w:val="none"/>
                <w:lang w:val="en-US" w:eastAsia="zh-CN" w:bidi="ar-SA"/>
              </w:rPr>
              <w:t>5</w:t>
            </w:r>
            <w:r>
              <w:rPr>
                <w:rFonts w:hint="default" w:ascii="Times New Roman" w:hAnsi="Times New Roman" w:eastAsia="宋体" w:cs="Times New Roman"/>
                <w:kern w:val="2"/>
                <w:sz w:val="18"/>
                <w:szCs w:val="18"/>
                <w:u w:val="none"/>
                <w:lang w:val="en-US" w:eastAsia="zh-CN" w:bidi="ar-SA"/>
              </w:rPr>
              <w:t>-0</w:t>
            </w:r>
            <w:r>
              <w:rPr>
                <w:rFonts w:hint="default" w:ascii="Times New Roman" w:hAnsi="Times New Roman" w:cs="Times New Roman"/>
                <w:kern w:val="2"/>
                <w:sz w:val="18"/>
                <w:szCs w:val="18"/>
                <w:u w:val="none"/>
                <w:lang w:val="en-US" w:eastAsia="zh-CN" w:bidi="ar-SA"/>
              </w:rPr>
              <w:t>2</w:t>
            </w:r>
          </w:p>
        </w:tc>
        <w:tc>
          <w:tcPr>
            <w:tcW w:w="64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3099</w:t>
            </w:r>
            <w:r>
              <w:rPr>
                <w:rFonts w:hint="default" w:ascii="Times New Roman" w:hAnsi="Times New Roman" w:cs="Times New Roman"/>
                <w:sz w:val="18"/>
                <w:szCs w:val="18"/>
              </w:rPr>
              <w:t>（其中使用权面积</w:t>
            </w:r>
            <w:r>
              <w:rPr>
                <w:rFonts w:hint="default" w:ascii="Times New Roman" w:hAnsi="Times New Roman" w:cs="Times New Roman"/>
                <w:sz w:val="18"/>
                <w:szCs w:val="18"/>
                <w:lang w:val="en-US" w:eastAsia="zh-CN"/>
              </w:rPr>
              <w:t>2778</w:t>
            </w:r>
            <w:r>
              <w:rPr>
                <w:rFonts w:hint="default" w:ascii="Times New Roman" w:hAnsi="Times New Roman" w:cs="Times New Roman"/>
                <w:sz w:val="18"/>
                <w:szCs w:val="18"/>
              </w:rPr>
              <w:t>㎡）</w:t>
            </w:r>
          </w:p>
        </w:tc>
        <w:tc>
          <w:tcPr>
            <w:tcW w:w="48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工业用地</w:t>
            </w:r>
          </w:p>
        </w:tc>
        <w:tc>
          <w:tcPr>
            <w:tcW w:w="6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3099</w:t>
            </w:r>
          </w:p>
        </w:tc>
        <w:tc>
          <w:tcPr>
            <w:tcW w:w="75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1.6≤R≤2.5</w:t>
            </w:r>
          </w:p>
        </w:tc>
        <w:tc>
          <w:tcPr>
            <w:tcW w:w="100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none"/>
                <w:lang w:val="en-US" w:eastAsia="zh-CN"/>
              </w:rPr>
              <w:t>4959</w:t>
            </w:r>
            <w:r>
              <w:rPr>
                <w:rFonts w:hint="default" w:ascii="Times New Roman" w:hAnsi="Times New Roman" w:cs="Times New Roman"/>
                <w:sz w:val="18"/>
                <w:szCs w:val="18"/>
                <w:highlight w:val="none"/>
              </w:rPr>
              <w:t>≤S≤</w:t>
            </w:r>
            <w:r>
              <w:rPr>
                <w:rFonts w:hint="default" w:ascii="Times New Roman" w:hAnsi="Times New Roman" w:cs="Times New Roman"/>
                <w:sz w:val="18"/>
                <w:szCs w:val="18"/>
                <w:highlight w:val="none"/>
                <w:lang w:val="en-US" w:eastAsia="zh-CN"/>
              </w:rPr>
              <w:t>7748</w:t>
            </w:r>
          </w:p>
        </w:tc>
        <w:tc>
          <w:tcPr>
            <w:tcW w:w="55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≥30</w:t>
            </w:r>
          </w:p>
        </w:tc>
        <w:tc>
          <w:tcPr>
            <w:tcW w:w="74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15≤绿地率≤20</w:t>
            </w:r>
          </w:p>
        </w:tc>
        <w:tc>
          <w:tcPr>
            <w:tcW w:w="85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按《规划设计条件告知书》要求配建</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eastAsia="宋体" w:cs="Times New Roman"/>
                <w:color w:val="auto"/>
                <w:kern w:val="0"/>
                <w:sz w:val="18"/>
                <w:szCs w:val="18"/>
                <w:highlight w:val="none"/>
                <w:lang w:val="en-US" w:eastAsia="zh-CN"/>
              </w:rPr>
              <w:t>50</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337</w:t>
            </w:r>
          </w:p>
        </w:tc>
        <w:tc>
          <w:tcPr>
            <w:tcW w:w="74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10</w:t>
            </w:r>
          </w:p>
        </w:tc>
        <w:tc>
          <w:tcPr>
            <w:tcW w:w="67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68</w:t>
            </w:r>
          </w:p>
        </w:tc>
        <w:tc>
          <w:tcPr>
            <w:tcW w:w="772"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2023年4月</w:t>
            </w:r>
            <w:r>
              <w:rPr>
                <w:rFonts w:hint="default" w:ascii="Times New Roman" w:hAnsi="Times New Roman" w:cs="Times New Roman"/>
                <w:color w:val="auto"/>
                <w:kern w:val="0"/>
                <w:sz w:val="18"/>
                <w:szCs w:val="18"/>
                <w:highlight w:val="none"/>
                <w:lang w:val="en-US" w:eastAsia="zh-CN"/>
              </w:rPr>
              <w:t>1</w:t>
            </w:r>
            <w:r>
              <w:rPr>
                <w:rFonts w:hint="eastAsia" w:cs="Times New Roman"/>
                <w:color w:val="auto"/>
                <w:kern w:val="0"/>
                <w:sz w:val="18"/>
                <w:szCs w:val="18"/>
                <w:highlight w:val="none"/>
                <w:lang w:val="en-US" w:eastAsia="zh-CN"/>
              </w:rPr>
              <w:t>7</w:t>
            </w:r>
            <w:r>
              <w:rPr>
                <w:rFonts w:hint="default" w:ascii="Times New Roman" w:hAnsi="Times New Roman" w:eastAsia="宋体" w:cs="Times New Roman"/>
                <w:color w:val="auto"/>
                <w:kern w:val="0"/>
                <w:sz w:val="18"/>
                <w:szCs w:val="18"/>
                <w:highlight w:val="none"/>
                <w:lang w:val="en-US" w:eastAsia="zh-CN"/>
              </w:rPr>
              <w:t>日9时</w:t>
            </w:r>
          </w:p>
        </w:tc>
        <w:tc>
          <w:tcPr>
            <w:tcW w:w="77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lang w:val="en-US" w:eastAsia="zh-CN"/>
              </w:rPr>
              <w:t>000 元/㎡</w:t>
            </w:r>
          </w:p>
        </w:tc>
        <w:tc>
          <w:tcPr>
            <w:tcW w:w="123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u w:val="none"/>
                <w:lang w:val="en-US" w:eastAsia="zh-CN" w:bidi="ar-SA"/>
              </w:rPr>
              <w:t>移动新能源技术开发及应用</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惠州仲恺高新技术产业开发区经济发展局</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行政办公及生活服务配套设施用地面积不得超过总用地面积的</w:t>
            </w:r>
            <w:r>
              <w:rPr>
                <w:rFonts w:hint="default" w:ascii="Times New Roman" w:hAnsi="Times New Roman" w:cs="Times New Roman"/>
                <w:kern w:val="0"/>
                <w:sz w:val="18"/>
                <w:szCs w:val="18"/>
                <w:lang w:val="en-US" w:eastAsia="zh-CN"/>
              </w:rPr>
              <w:t>4.5</w:t>
            </w:r>
            <w:r>
              <w:rPr>
                <w:rFonts w:hint="default" w:ascii="Times New Roman" w:hAnsi="Times New Roman" w:cs="Times New Roman"/>
                <w:kern w:val="0"/>
                <w:sz w:val="18"/>
                <w:szCs w:val="18"/>
              </w:rPr>
              <w:t>%</w:t>
            </w:r>
          </w:p>
        </w:tc>
      </w:tr>
    </w:tbl>
    <w:p>
      <w:pPr>
        <w:keepNext w:val="0"/>
        <w:keepLines w:val="0"/>
        <w:pageBreakBefore w:val="0"/>
        <w:widowControl w:val="0"/>
        <w:kinsoku/>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textAlignment w:val="auto"/>
        <w:rPr>
          <w:rFonts w:hint="default" w:ascii="Times New Roman" w:hAnsi="Times New Roman" w:cs="Times New Roman"/>
        </w:rPr>
      </w:pPr>
    </w:p>
    <w:sectPr>
      <w:pgSz w:w="16838" w:h="11906" w:orient="landscape"/>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5513248E"/>
    <w:rsid w:val="024F76EA"/>
    <w:rsid w:val="1F952EAB"/>
    <w:rsid w:val="3596253F"/>
    <w:rsid w:val="3DAB4F25"/>
    <w:rsid w:val="52C23487"/>
    <w:rsid w:val="5513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customStyle="1" w:styleId="5">
    <w:name w:val="_Style 1"/>
    <w:basedOn w:val="6"/>
    <w:qFormat/>
    <w:uiPriority w:val="1"/>
    <w:pPr>
      <w:adjustRightInd w:val="0"/>
      <w:snapToGrid w:val="0"/>
      <w:spacing w:line="620" w:lineRule="exact"/>
      <w:ind w:firstLine="200" w:firstLineChars="200"/>
    </w:pPr>
    <w:rPr>
      <w:rFonts w:cs="Times New Roman"/>
      <w:sz w:val="32"/>
      <w:szCs w:val="21"/>
    </w:rPr>
  </w:style>
  <w:style w:type="paragraph" w:customStyle="1" w:styleId="6">
    <w:name w:val="正文 New New New New New New New New New New New New New New New New New New New New New New New New New New New New New New New"/>
    <w:next w:val="5"/>
    <w:qFormat/>
    <w:uiPriority w:val="0"/>
    <w:pPr>
      <w:widowControl w:val="0"/>
      <w:jc w:val="both"/>
    </w:pPr>
    <w:rPr>
      <w:rFonts w:ascii="Calibri" w:hAnsi="Calibri" w:eastAsia="宋体" w:cs="黑体"/>
      <w:kern w:val="2"/>
      <w:sz w:val="21"/>
      <w:szCs w:val="22"/>
      <w:lang w:val="en-US" w:eastAsia="zh-CN" w:bidi="ar-SA"/>
    </w:rPr>
  </w:style>
  <w:style w:type="paragraph" w:customStyle="1" w:styleId="7">
    <w:name w:val="Body text|1"/>
    <w:basedOn w:val="1"/>
    <w:qFormat/>
    <w:uiPriority w:val="0"/>
    <w:pPr>
      <w:spacing w:line="439" w:lineRule="auto"/>
      <w:ind w:firstLine="400"/>
    </w:pPr>
    <w:rPr>
      <w:rFonts w:ascii="宋体" w:hAnsi="宋体" w:eastAsia="宋体" w:cs="宋体"/>
      <w:sz w:val="30"/>
      <w:szCs w:val="30"/>
      <w:lang w:val="zh-TW" w:eastAsia="zh-TW" w:bidi="zh-TW"/>
    </w:rPr>
  </w:style>
  <w:style w:type="paragraph" w:customStyle="1" w:styleId="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9</Pages>
  <Words>4039</Words>
  <Characters>4688</Characters>
  <Lines>0</Lines>
  <Paragraphs>0</Paragraphs>
  <TotalTime>15</TotalTime>
  <ScaleCrop>false</ScaleCrop>
  <LinksUpToDate>false</LinksUpToDate>
  <CharactersWithSpaces>4728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2023-03-10T01:47:00Z</dcterms:created>
  <dc:creator>杨立</dc:creator>
  <cp:lastModifiedBy>欧老</cp:lastModifiedBy>
  <cp:lastPrinted>2023-03-10T02:02:00Z</cp:lastPrinted>
  <dcterms:modified xsi:type="dcterms:W3CDTF">2023-03-10T06:54:20Z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D82940A4E3684032ADED6E2745B7FF89</vt:lpwstr>
  </property>
</Properties>
</file>